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1153/2017 vom 12. Dezember 2017</w:t>
      </w:r>
    </w:p>
    <w:p>
      <w:r>
        <w:t>Bundesgericht, 2017-12-12, DE</w:t>
      </w:r>
    </w:p>
    <w:p>
      <w:r>
        <w:rPr>
          <w:b/>
        </w:rPr>
        <w:t xml:space="preserve">Quelle: </w:t>
      </w:r>
      <w:r>
        <w:t>https://mcp.opencaselaw.ch/entscheid/bger_6B_1153_2017</w:t>
      </w:r>
    </w:p>
    <w:p>
      <w:r>
        <w:t>FR: TF 6B 1153/2017 du 12 décembre 2017</w:t>
      </w:r>
    </w:p>
    <w:p>
      <w:r>
        <w:t>IT: TF 6B 1153/2017 del 12 dicembre 2017</w:t>
      </w:r>
    </w:p>
    <w:p>
      <w:pPr>
        <w:pStyle w:val="Heading2"/>
      </w:pPr>
      <w:r>
        <w:t>Regeste</w:t>
      </w:r>
    </w:p>
    <w:p>
      <w:r>
        <w:t>Vereitelung von Massnahmen zur Feststellung der Fahrunfähigkeit; Nichteintreten | Straftaten</w:t>
      </w:r>
    </w:p>
    <w:p>
      <w:pPr>
        <w:pStyle w:val="Heading2"/>
      </w:pPr>
      <w:r>
        <w:t>Erwägungen</w:t>
      </w:r>
    </w:p>
    <w:p>
      <w:r>
        <w:rPr>
          <w:b/>
        </w:rPr>
        <w:t>E. 1</w:t>
      </w:r>
    </w:p>
    <w:p>
      <w:r>
        <w:t>Das Kantonsgericht Luzern sprach den Beschwerdeführer am 30. Juni 2016 des Nichtbeherrschens des Fahrzeugs, des pflichtwidrigen Verhaltens nach Unfall mit Fremdschaden, des Führens eines Fahrzeugs im angetrunkenen Zustand mit qualifizierter BAK von 1,02 Promille sowie der Vereitelung von Massnahmen zur Feststellung der Fahrunfähigkeit schuldig und bestrafte ihn anstelle einer Geldstrafe von 90 Tagessätzen zu je Fr. 55.-- mit 360 Stunden gemeinnütziger Arbeit, mit Aufschub des Vollzugs, und mit Fr. 1'600.-- Busse. Die hiegegen vom Beschwerdeführer erhobene Beschwerde hiess das Bundesgericht am 11. April 2017 hinsichtlich des Schuldspruchs wegen Führens eines Fahrzeugs im angetrunkenen Zustand mit qualifizierter BAK gut und wies die Sache zur Neubeurteilung an die Vorinstanz zurück (Urteil 6B_996/2016 vom 11. April 2017).</w:t>
      </w:r>
    </w:p>
    <w:p>
      <w:r>
        <w:rPr>
          <w:b/>
        </w:rPr>
        <w:t>E. 2</w:t>
      </w:r>
    </w:p>
    <w:p>
      <w:r>
        <w:t>Das Kantonsgericht verurteilte den Beschwerdeführer im Rückweisungsverfahren vom 24. August 2017 wegen Nichtbeherrschens des Fahrzeugs, pflichtwidrigen Verhaltens nach Unfall mit Fremdschaden sowie Vereitelung von Massnahmen zur Feststellung der Fahrunfähigkeit. Vom Vorwurf des Führens eines Fahrzeugs im angetrunkenen Zustand mit qualifizierter BAK sprach es den Beschwerdeführer frei. Es bestrafte ihn anstelle einer Geldstrafe von 65 Tagessätzen zu je Fr. 55.-- mit 260 Stunden gemeinnütziger Arbeit, mit Aufschub des Vollzugs, und mit Fr. 1'300.-- Busse.</w:t>
      </w:r>
    </w:p>
    <w:p>
      <w:r>
        <w:rPr>
          <w:b/>
        </w:rPr>
        <w:t>E. 3</w:t>
      </w:r>
    </w:p>
    <w:p>
      <w:r>
        <w:t>Der Beschwerdeführer führt Beschwerde in Strafsachen und beantragt, er sei vom Vorwurf der Vereitelung von Massnahmen zur Feststellung der Fahrunfähigkeit freizusprechen.</w:t>
      </w:r>
    </w:p>
    <w:p>
      <w:r>
        <w:rPr>
          <w:b/>
        </w:rPr>
        <w:t>E. 4</w:t>
      </w:r>
    </w:p>
    <w:p>
      <w:r>
        <w:t>Im Falle einer Rückweisung hat das kantonale Gericht nur noch diejenigen Punkte zu beurteilen, die das Bundesgericht aufgehoben hat.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 BGE 143 IV 214 E. 5.2.1 mit Hinweisen; Urteil 6B_372/2011 vom 12. Juli 2011 E. 1.1.2). Der Schuldspruch wegen Vereitelung von Massnahmen zur Feststellung der Fahrunfähigkeit wurde vom Bundesgericht im Rückweisungsentscheid 6B_996/2016 nicht kassiert und war mithin nicht mehr Gegenstand des neuen Berufungsverfahrens. Damit bestand bzw. besteht weder vor Vorinstanz noch vor Bundesgericht Raum für eine erneute Überprüfung des fraglichen Schuldspruchs. Soweit der Beschwerdeführer verlangt, vom Schuldspruch wegen Vereitelung von Massnahmen zur Feststellung der Fahrunfähigkeit freigesprochen zu werden, verkennt er offensichtlich die Tragweite und Funktion des bundesgerichtlichen Rückweisungsentscheids 6B_996/2016. Der fragliche Schuldspruch war und ist einer Neubeurteilung nicht mehr zugänglich. Auf die Beschwerde in Strafsachen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