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6B_1152/2015 vom 29. September 2016</w:t>
      </w:r>
    </w:p>
    <w:p>
      <w:r>
        <w:t>Bundesgericht, 2016-09-29, FR</w:t>
      </w:r>
    </w:p>
    <w:p>
      <w:r>
        <w:rPr>
          <w:b/>
        </w:rPr>
        <w:t xml:space="preserve">Quelle: </w:t>
      </w:r>
      <w:r>
        <w:t>https://mcp.opencaselaw.ch/entscheid/bger_6B_1152_2015</w:t>
      </w:r>
    </w:p>
    <w:p>
      <w:r>
        <w:t>FR: TF 6B_1152/2015 du 29 septembre 2016</w:t>
      </w:r>
    </w:p>
    <w:p>
      <w:r>
        <w:t>IT: TF 6B_1152/2015 del 29 settembre 2016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Si la partie plaignante invoque des infractions distinctes, elle doit mentionner par rapport à chacune d'elles en quoi consiste son dommage. Si le dommage n'est motivé qu'en ce qui concerne l'une des infractions, le recours est irrecevable pour les autres (cf. arrêt 6B_381/2015 du 19 avril 2016 consid. 1.1).</w:t>
      </w:r>
    </w:p>
    <w:p>
      <w:r>
        <w:t>Indépendamment des conditions posées par l'art. 81 al. 1 let. a et b ch. 5 LTF, la partie recourante est aussi habilitée à se plaindre d'une violation de ses droits de partie équivalant à un déni de justice formel. La possibilité d'invoquer des garanties procédurales ne lui permet cependant pas de remettre en cause, même de façon indirecte, le jugement au fond ( ATF 141 IV 1 consid. 1.1 p. 5 et les références citées).</w:t>
      </w:r>
    </w:p>
    <w:p>
      <w:r>
        <w:rPr>
          <w:b/>
        </w:rPr>
        <w:t>E. 1.2</w:t>
      </w:r>
    </w:p>
    <w:p>
      <w:r>
        <w:t>S'agissant de l'accusation de gestion déloyale, le recourant expose que ses prétentions civiles ressortent clairement de cette accusation: elles correspondront au préjudice causé par le comportement de l'intimé dans le cadre de la gestion de la société B.________ SA, le recourant en étant actionnaire.</w:t>
      </w:r>
    </w:p>
    <w:p>
      <w:r>
        <w:t>Lorsqu'une société anonyme n'est pas en faillite - comme c'est le cas en l'espèce - la société et chaque actionnaire ont le droit d'intenter action pour le dommage causé à la société. Les actionnaires ne peuvent toutefois agir qu'en paiement de dommages-intérêts à la société ( art. 756 al. 1 CO ). Il résulte de ce qui précède que le recourant n'a pas de prétentions civiles à faire valoir en sa faveur du fait du prétendu dommage causé par l'intimé à la société par sa gestion. Faute d'exposer en quoi les faits dénoncés lui auraient causé un dommage propre dont il pourrait déduire des prétentions civiles en sa faveur, la qualité pour recourir contre le classement de l'accusation de gestion déloyale doit lui être déniée.</w:t>
      </w:r>
    </w:p>
    <w:p>
      <w:r>
        <w:rPr>
          <w:b/>
        </w:rPr>
        <w:t>E. 1.3</w:t>
      </w:r>
    </w:p>
    <w:p>
      <w:r>
        <w:t>Le recourant n'expose pas quelles prétentions civiles il entendrait faire valoir contre l'intimé du fait de la commission dénoncée de l'infraction d'escroquerie. La qualité pour recourir sur le fond de la cause pour cette infraction doit par conséquent lui être déniée.</w:t>
      </w:r>
    </w:p>
    <w:p>
      <w:r>
        <w:rPr>
          <w:b/>
        </w:rPr>
        <w:t>E. 1.4</w:t>
      </w:r>
    </w:p>
    <w:p>
      <w:r>
        <w:t>Pour le surplus, le recourant n'invoque aucune violation du droit de porter plainte (art. 81 al. 1 let. b ch. 6 LTF), ni ne fait valoir de violation de ses droits de partie équivalent à un déni de justice formel.</w:t>
      </w:r>
    </w:p>
    <w:p>
      <w:r>
        <w:rPr>
          <w:b/>
        </w:rPr>
        <w:t>E. 2</w:t>
      </w:r>
    </w:p>
    <w:p>
      <w:r>
        <w:t>Le recours est par conséquent irrecevable et peut être écarté en application de l' art. 108 al. 1 let. a et b LTF .</w:t>
      </w:r>
    </w:p>
    <w:p>
      <w:r>
        <w:t>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