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6B_1151/2014 vom 16. Dezember 2015</w:t>
      </w:r>
    </w:p>
    <w:p>
      <w:r>
        <w:t>Bundesgericht, 2015-12-16, FR</w:t>
      </w:r>
    </w:p>
    <w:p>
      <w:r>
        <w:rPr>
          <w:b/>
        </w:rPr>
        <w:t xml:space="preserve">Quelle: </w:t>
      </w:r>
      <w:r>
        <w:t>https://mcp.opencaselaw.ch/entscheid/bger_6B_1151_2014</w:t>
      </w:r>
    </w:p>
    <w:p>
      <w:r>
        <w:t>FR: TF 6B_1151/2014 du 16 décembre 2015</w:t>
      </w:r>
    </w:p>
    <w:p>
      <w:r>
        <w:t>IT: TF 6B_1151/2014 del 16 dicembre 2015</w:t>
      </w:r>
    </w:p>
    <w:p>
      <w:pPr>
        <w:pStyle w:val="Heading2"/>
      </w:pPr>
      <w:r>
        <w:t>Erwägungen</w:t>
      </w:r>
    </w:p>
    <w:p>
      <w:r>
        <w:rPr>
          <w:b/>
        </w:rPr>
        <w:t>E. 1.1</w:t>
      </w:r>
    </w:p>
    <w:p>
      <w:r>
        <w:t>Selon l'article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 art. 119 al. 2 let. b CPP ) il n'en reste pas moins que le ministère public qui refuse d'entrer en matière ou prononce un classement n'a pas à statuer sur l'aspect civil ( art. 320 al. 3 CPP ). Dans tous les cas, il incombe par conséquent à la partie plaignante d'expliquer dans son mémoire au Tribunal fédéral quelles prétentions civiles elle entend faire valoir conte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 art. 251 CP protège, en tant que bien juridique, d'une part la confiance particulière placée dans un titre ayant valeur probante dans les rapports juridiques et, d'autre part, la loyauté dans les relations commerciales ( ATF 129 IV 53 consid. 3.2 p. 58).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 ATF 119 Ia 342 consid. 2b p. 346 s. et les références citées). Un faux dans les titres peut constituer une atteinte aux intérêts individuels, notamment lorsqu'il est l'un des éléments d'une infraction contre le patrimoine ( ATF 119 Ia 342 consid. 2b p. 346 s.; arrêt 6B_549/2013 du 24 février 2014 consid. 2.2.2).</w:t>
      </w:r>
    </w:p>
    <w:p>
      <w:r>
        <w:rPr>
          <w:b/>
        </w:rPr>
        <w:t>E. 1.2</w:t>
      </w:r>
    </w:p>
    <w:p>
      <w:r>
        <w:t>Le recourant explique qu'en raison de l'ordonnance de non-entrée en matière rendue par le ministère public, il apparaît comme unique débiteur envers l'institut de crédit. Il risque ainsi de faire l'objet de poursuites ce qui lui causerait un dommage patrimonial conséquent compte tenu de la valeur des crédits souscrits.</w:t>
      </w:r>
    </w:p>
    <w:p>
      <w:r>
        <w:t>La procédure pénale n'est pas destinée à fournir au recourant un moyen de défense dans le cadre de la procédure civile. La qualité pour recourir n'est pas donnée à la partie plaignante pour lui éviter de subir un préjudice civil, mais uniquement si la procédure pénale peut avoir une influence sur les prétentions civiles qu'elle serait en mesure de faire valoir dans le cadre de la procédure pénale. Il en découle que le recourant ne saurait rien déduire en sa faveur du fait qu'il " risque " de faire l'objet de poursuites. Dans son argumentation au fond, il soutient que les contrats de prêt portaient respectivement sur des montants de 20'000 fr. et 46'000 francs. Dans la mesure où le dommage peut notamment prendre la forme d'une mise en danger du patrimoine telle qu'elle a pour effet d'en diminuer la valeur du point de vue économique ( ATF 129 IV 124 consid. 3.1 p. 125; 123 IV 17 consid. 3d p. 22), il n'est pas exclu que si l'intimée était condamnée pour faux dans les titres, le recourant pourrait lui réclamer les montants dont il serait susceptible d'être tenu envers l'institut de crédit. Partant, il pourrait faire valoir à son encontre des prétentions en réparation au sens de l' art. 41 CO . Cette question peut toutefois demeurer indécise au vu du sort de la cause.</w:t>
      </w:r>
    </w:p>
    <w:p>
      <w:r>
        <w:rPr>
          <w:b/>
        </w:rPr>
        <w:t>E. 2</w:t>
      </w:r>
    </w:p>
    <w:p>
      <w:r>
        <w:t>Le recourant se plaint d'une constatation manifestement inexacte et incomplète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Le recourant allègue que la cour cantonale a omis de tenir compte du fait que l'intimée avait admis, lors de son audition par la police, avoir signé des contrats de prêt portant sur des montant de 20'000 fr. et 46'000 francs. On comprend au contraire de l'arrêt cantonal, que la cour a tenu ce fait pour établi (" l'épouse affirme [...] que son mari lui aurait donné son accord pour les prêts qu'elle souscrivait pour lui [...]; qu'il aurait été parfaitement au courant des crédits contractés auprès de la banque en question; arrêt p. 4). Pour le surplus, le recourant se borne à indiquer que la cour cantonale a omis de prendre en considération la situation conflictuelle existant entre les parties, de même que le fait que l'intimée aurait retiré du compte commun du couple un montant de 30'000 fr. le jour de la séparation effective. Ce faisant, il n'expose pas en quoi les faits omis seraient pertinents et susceptibles de rendre insoutenable, partant arbitraire, la constatation des faits effectuée par la cour cantonale. Partant, sa critique se révèle purement appellatoire et est par conséquent irrecevable ( art. 106 al. 2 LTF ).</w:t>
      </w:r>
    </w:p>
    <w:p>
      <w:r>
        <w:rPr>
          <w:b/>
        </w:rPr>
        <w:t>E. 3</w:t>
      </w:r>
    </w:p>
    <w:p>
      <w:r>
        <w:t>Le recourant soutient que l'ordonnance de non-entrée en matière a été rendue en violation de l' art. 310 al. 1 CPP , du principe de la légalité et du principe in dubio pro duriore.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 " in dubio pro duriore "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w:t>
      </w:r>
    </w:p>
    <w:p>
      <w:r>
        <w:t>Face à des versions contradictoires des parties, il peut être renoncé à une mise en accusation uniquement lorsqu'il n'est pas possible d'apprécier l'une ou l'autre version comme étant plus ou moins plausible et qu'aucun résultat n'est à escompter d'autres moyens de preuve (cf. arrêts 6B_856/2013 du 3 avril 2014 consid. 2.2; 1B_535/2012 du 28 novembre 2012 consid. 5.2).</w:t>
      </w:r>
    </w:p>
    <w:p>
      <w:r>
        <w:rPr>
          <w:b/>
        </w:rPr>
        <w:t>E. 3.2</w:t>
      </w:r>
    </w:p>
    <w:p>
      <w:r>
        <w:t>Il y a faux matériel lorsqu'une personne fabrique un titre dont l'auteur réel ne coïncide pas avec l'auteur apparent. Le faussaire crée un titre qui trompe sur l'identité de celui dont il émane en réalité (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 ATF 132 IV 57 consid. 5.1.2 et les références citées).</w:t>
      </w:r>
    </w:p>
    <w:p>
      <w:r>
        <w:t>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 ATF 132 IV 57 consid. 5.1.2; 128 IV 265 consid. 1.1.2 et 1.1.3 p. 268 s. et les références citées).</w:t>
      </w:r>
    </w:p>
    <w:p>
      <w:r>
        <w:rPr>
          <w:b/>
        </w:rPr>
        <w:t>E. 3.3</w:t>
      </w:r>
    </w:p>
    <w:p>
      <w:r>
        <w:t>Il ressort de l'arrêt attaqué que l'intimée a déclaré que le recourant lui laissait gérer les finances du couple, qu'il lui aurait donné son accord pour les prêts, à tout le moins implicitement, et qu'il était au courant de la conclusion de ces prêts. Le recourant a quant à lui admis que son épouse gérait toutes les finances du couple, de même qu'il ne s'est jamais préoccupé de l'aspect financier de leur vie commune. Il prétend toutefois ne pas avoir donné son accord pour la signature de ces crédits. Partant, la cour cantonale a considéré qu'il n'y avait pas d'indices suffisants permettant de soupçonner la commission de l'infraction reprochée. Au surplus, d'autres mesures d'instruction, en particulier l'audition des parties par le procureur, n'auraient pas permis d'obtenir plus d'informations.</w:t>
      </w:r>
    </w:p>
    <w:p>
      <w:r>
        <w:rPr>
          <w:b/>
        </w:rPr>
        <w:t>E. 3.4</w:t>
      </w:r>
    </w:p>
    <w:p>
      <w:r>
        <w:t>Le recourant prétend que la cour cantonale a conclu à tort à un pouvoir de représentation caché, ce qui l'a amenée à retenir que les éléments constitutifs de l'infraction de faux dans les titres n'étaient pas réalisés. Il procède toutefois à une lecture erronée de la décision cantonale, puisqu'il en ressort que la cour cantonale a constaté qu'il ne sera jamais possible d'établir avec certitude l'étendue réelle du pouvoir de représentation de l'épouse (arrêt attaqué, p. 5). Le grief est sans objet.</w:t>
      </w:r>
    </w:p>
    <w:p>
      <w:r>
        <w:rPr>
          <w:b/>
        </w:rPr>
        <w:t>E. 3.5</w:t>
      </w:r>
    </w:p>
    <w:p>
      <w:r>
        <w:t>Le recourant critique l'instruction du dossier. Il considère que d'autres mesures d'instruction, en sus de son audition et de celle de l'intimée par la police, auraient pu être effectuées (audition des parties par le ministère public, audition de confrontation et production, par l'intimée, de pièces justifiant l'affectation du montant de 30'000 fr. retiré le 11 mai 2012). Ce faisant, il ne se détermine pas sur les considérations cantonales contraires et, en particulier, ne démontre pas en quoi celles-ci seraient insoutenables. En proposant la mise en oeuvre de différents compléments d'instruction, il se borne à opposer son point de vue à celui de la cour cantonale au terme d'une motivation exclusivement appellatoire, par conséquent irrecevable.</w:t>
      </w:r>
    </w:p>
    <w:p>
      <w:r>
        <w:rPr>
          <w:b/>
        </w:rPr>
        <w:t>E. 3.6</w:t>
      </w:r>
    </w:p>
    <w:p>
      <w:r>
        <w:t>Sur le vu de ce qui précède, on ne saurait reprocher à la cour cantonale d'avoir constaté que les versions des parties quant au pouvoir de représentation dont bénéficiait l'épouse étaient irrémédiablement contradictoires. Dans la mesure où le recourant, entendu par la police ensuite du dépôt de sa dénonciation, n'a pas pu apporter davantage d'éléments à cette affaire, en particulier quant au pouvoir de représentation octroyé à son épouse, c'est également à juste titre que la cour cantonale a constaté qu'aucune mesure d'instruction complémentaire, en particulier l'audition des parties par le procureur, ne permettrait de confirmer ou d'infirmer l'une ou l'autre de ces versions et que le recourant ne pouvait pas apporter la preuve de ses accusations. En tout état, les seules affirmations du recourant ne sauraient suffire pour démontrer qu'une condamnation de l'intimée serait plus vraisemblable que son acquittement. Partant, l'appréciation à laquelle la cour cantonale a procédé en confirmant l'ordonnance de non-entrée en matière rendue par le ministère public ne viole pas, dans son résultat, le principe in dubio pro duriore, pas plus que le principe de la légalité dont le premier découle.</w:t>
      </w:r>
    </w:p>
    <w:p>
      <w:r>
        <w:rPr>
          <w:b/>
        </w:rPr>
        <w:t>E. 4</w:t>
      </w:r>
    </w:p>
    <w:p>
      <w:r>
        <w:t>Mal fondé, 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