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114/2024 vom 8. März 2024</w:t>
      </w:r>
    </w:p>
    <w:p>
      <w:r>
        <w:t>Bundesgericht, 2024-03-08, DE</w:t>
      </w:r>
    </w:p>
    <w:p>
      <w:r>
        <w:rPr>
          <w:b/>
        </w:rPr>
        <w:t xml:space="preserve">Quelle: </w:t>
      </w:r>
      <w:r>
        <w:t>https://mcp.opencaselaw.ch/entscheid/bger_6B_114_2024</w:t>
      </w:r>
    </w:p>
    <w:p>
      <w:r>
        <w:t>FR: TF 6B 114/2024 du 8 mars 2024</w:t>
      </w:r>
    </w:p>
    <w:p>
      <w:r>
        <w:t>IT: TF 6B 114/2024 del 8 marzo 2024</w:t>
      </w:r>
    </w:p>
    <w:p>
      <w:pPr>
        <w:pStyle w:val="Heading2"/>
      </w:pPr>
      <w:r>
        <w:t>Regeste</w:t>
      </w:r>
    </w:p>
    <w:p>
      <w:r>
        <w:t>Entschädigung der unentgeltlichen Rechtsvertretung; Rückzug | Strafprozess</w:t>
      </w:r>
    </w:p>
    <w:p>
      <w:pPr>
        <w:pStyle w:val="Heading2"/>
      </w:pPr>
      <w:r>
        <w:t>Erwägungen</w:t>
      </w:r>
    </w:p>
    <w:p>
      <w:r>
        <w:rPr>
          <w:b/>
        </w:rPr>
        <w:t>E. 1</w:t>
      </w:r>
    </w:p>
    <w:p>
      <w:r>
        <w:t>Die am 1. Februar 2024 im eigenen Namen eingereichte Beschwerde gegen das Urteil des Obergerichts des Kantons Zürich vom 8. September 2023 betreffend Entschädigung der unentgeltlichen Rechtsvertretung (Urteilsdispositivziffer 15) wurde mit Schreiben vom 5. März 2024 zurückgezogen. Das Verfahren ist infolge Beschwerderückzugs abzuschreiben.</w:t>
      </w:r>
    </w:p>
    <w:p>
      <w:r>
        <w:rPr>
          <w:b/>
        </w:rPr>
        <w:t>E. 2</w:t>
      </w:r>
    </w:p>
    <w:p>
      <w:r>
        <w:t>Es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