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6B_1149/2023 vom 7. August 2024</w:t>
      </w:r>
    </w:p>
    <w:p>
      <w:r>
        <w:t>Bundesgericht, 2024-08-07, FR</w:t>
      </w:r>
    </w:p>
    <w:p>
      <w:r>
        <w:rPr>
          <w:b/>
        </w:rPr>
        <w:t xml:space="preserve">Quelle: </w:t>
      </w:r>
      <w:r>
        <w:t>https://mcp.opencaselaw.ch/entscheid/bger_6B_1149_2023</w:t>
      </w:r>
    </w:p>
    <w:p>
      <w:r>
        <w:t>FR: TF 6B_1149/2023 du 7 août 2024</w:t>
      </w:r>
    </w:p>
    <w:p>
      <w:r>
        <w:t>IT: TF 6B_1149/2023 del 7 agosto 2024</w:t>
      </w:r>
    </w:p>
    <w:p>
      <w:pPr>
        <w:pStyle w:val="Heading2"/>
      </w:pPr>
      <w:r>
        <w:t>Erwägungen</w:t>
      </w:r>
    </w:p>
    <w:p>
      <w:r>
        <w:rPr>
          <w:b/>
        </w:rPr>
        <w:t>E. 1</w:t>
      </w:r>
    </w:p>
    <w:p>
      <w:r>
        <w:t>Dans un premier grief ciblant les constatations de fait, le recourant reproche à la cour cantonale d'avoir arbitrairement retenu que l'intimée se trouvait déjà dans le giratoire lorsqu'il s'est lui-même engagé.</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1.2</w:t>
      </w:r>
    </w:p>
    <w:p>
      <w:r>
        <w:t>En l'espèce, s'agissant de la position respective des véhicules, le jugement attaqué mentionne la teneur de l'expertise privée réalisée sur mandat du recourant, dont il ressort, que 1.6 seconde avant la collision, le véhicule du prénommé se trouvait sur la ligne du signal " cédez le passage " et que l'automobile de l'intimée n'avait pas encore pénétré dans le giratoire (jugement attaqué consid. 2.4, p. 10 avec référence à la pièce 25/2; cf. aussi pièce 25/3, p. 3 [fig. 101]). Sans revenir plus avant sur ce qui précède ni exposer sur quoi se fonde ses constatations à cet égard, le jugement attaqué retient plus loin que " dès lors qu [e l'intimée] se trouvait déjà dans le giratoire, [elle] ne devait pas s'attendre à ce que le véhicule s'engage avant elle sur le point d'intersection du rond-point, l'entravant ainsi dans sa trajectoire ." On peut donner acte au recourant de ce qu'il ressort du jugement attaqué une apparente contradiction sur ce point et que les constatations cantonales manquent de clarté à cet égard. Toutefois, la position du véhicule de la recourante ne revêt pas, dans les circonstances de l'espèce et pour les motifs qui seront exposés plus loin, l'importance décisive que lui prête le recourant. Dans cette mesure, le recourant échoue à établir que les constatations cantonales seraient insoutenables dans leur résultat. Il s'ensuit que le grief doit être rejeté.</w:t>
      </w:r>
    </w:p>
    <w:p>
      <w:r>
        <w:rPr>
          <w:b/>
        </w:rPr>
        <w:t>E. 2</w:t>
      </w:r>
    </w:p>
    <w:p>
      <w:r>
        <w:t>Le recourant fait en second lieu grief à la cour cantonale de ne pas avoir retenu à la charge de l'intimée des fautes concomitantes qui représentaient selon lui la véritable cause de l'accident et qui reléguaient au second plan ses propres manquements, à supposer qu'ils existent. Par cette argumentation, le recourant se prévaut essentiellement d'une rupture du lien de causalité adéquate et reproche à la cour cantonale d'avoir violé l' art. 125 CP , tout en paraissant également contester avoir violé son devoir de diligence.</w:t>
      </w:r>
    </w:p>
    <w:p>
      <w:r>
        <w:rPr>
          <w:b/>
        </w:rPr>
        <w:t>E. 2.1</w:t>
      </w:r>
    </w:p>
    <w:p>
      <w:r>
        <w:t>Aux termes de l' art. 125 CP , quiconque, par négligence, fait subir à une personne une atteinte à l'intégrité corporelle ou à la santé est, sur plainte, puni d'une peine privative de liberté de trois ans au plus ou d'une peine pécuniaire (al. 1). Si la lésion est grave, l'auteur est poursuivi d'office (al. 2). 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 ATF 122 IV 17 consid. 2; cf. encore récemment arrêts 6B_654/2023 du 5 janvier 2024 consid. 1.1.1; 6B_976/2023 du 29 novembre 2023 consid. 1.2 et les arrêts cités).</w:t>
      </w:r>
    </w:p>
    <w:p>
      <w:r>
        <w:rPr>
          <w:b/>
        </w:rPr>
        <w:t>E. 2.1.1</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p. 140). S'agissant d'un accident de la route, il convient de se référer aux règles de la circulation routière ( ATF 122 IV 133 consid. 2a; arrêts 6B_982/2023 du 3 avril 2024 consid. 1.2; 6B_654/2023 précité consid. 1.1.1).</w:t>
      </w:r>
    </w:p>
    <w:p>
      <w:r>
        <w:rPr>
          <w:b/>
        </w:rPr>
        <w:t>E. 2.1.2</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2.2.1</w:t>
      </w:r>
    </w:p>
    <w:p>
      <w:r>
        <w:t>Selon l' art. 26 al. 1 LCR ,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125 IV 83 consid. 2b et les références citées). Seul celui qui s'est comporté réglementairement peut invoquer le principe de la confiance ( ATF 143 IV 500 consid. 1.2.4; 129 IV 282 consid. 2.2.1; arrêts 6B_976/2023 précité consid. 1.3.3; 6B_1081/2020 du 17 novembre 2021 consid. 1.3.1). Conformément à l' art. 27 al. 1 LCR , chacun se conformera aux signaux et aux marques ainsi qu'aux ordres de la police. Les signaux et les marques priment les règles générales; les ordres de la police ont le pas sur les règles générales, les signaux et les marques.</w:t>
      </w:r>
    </w:p>
    <w:p>
      <w:r>
        <w:rPr>
          <w:b/>
        </w:rPr>
        <w:t>E. 2.2.2</w:t>
      </w:r>
    </w:p>
    <w:p>
      <w:r>
        <w:t>La circulation dans les giratoires et à leurs abords est régie par l'art. 41b de l'ordonnance sur les règles de la circulation routière (OCR; RS 741.11), qui dispose en particulier qu'avant d'entrer dans un carrefour à sens giratoire (signal 2.41.1 combiné avec le signal 3.02), le conducteur doit ralentir et accorder la priorité aux véhicules qui, sur sa gauche, surviennent dans le giratoire (al. 1). L' art. 14 al. 1 OCR précise plus généralement que celui qui est tenu d'accorder la priorité ne doit pas gêner dans sa marche le conducteur bénéficiaire de la priorité; il réduira sa vitesse à temps et, s'il doit attendre, s'arrêtera avant le début de l'intersection. Le bénéficiaire de la priorité est gêné dans sa marche au sens de cette disposition,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 ATF 114 IV 146 ; arrêts 6B_976/2023 précité consid. 1.3.2; 6B_1315/2016 du 14 septembre 2017).</w:t>
      </w:r>
    </w:p>
    <w:p>
      <w:r>
        <w:rPr>
          <w:b/>
        </w:rPr>
        <w:t>E. 2.2.3</w:t>
      </w:r>
    </w:p>
    <w:p>
      <w:r>
        <w:t>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la conception qui reconnaît la priorité de gauche dans le giratoire à l'encontre de tous les véhicules, et pas uniquement de ceux qui se trouvent déjà sur le cercle, répond aux exigences d'une circulation fluide que doit permettre le giratoire ainsi qu'à celles de la sécurité du droit et du trafic; si à côté de la priorité de gauche pour les véhicules déjà à l'intérieur du giratoire, celui qui arrive à un giratoire devait se soumettre à la priorité de droite à l'égard des véhicules sur les autres voies de circulation débouchant sur le giratoire, il aurait alors à observer simultanément les véhicules venant à sa gauche et à sa droite afin de respecter son devoir de priorité, ce qui serait excessif; cela impliquerait que déjà en présence d'un faible trafic, un conducteur ne pourrait s'engager dans le giratoire sans marquer un temps d'arrêt, ce que cherche précisément à éviter le système du giratoire ( ATF 127 IV 220 consid. 3; 124 IV 81 consid. 2b; 115 IV 139 consid. 2b et 2d arrêt 6B_537/2021 du 4 août 2021 consid. 1.4.5). Le Tribunal fédéral a ultérieurement confirmé cette jurisprudence mais l'a nuancée au regard du principe de la confiance déduit de l' art. 26 al. 1 LCR . Il a relevé que sinon, prise à la lettre, elle aurait une portée exorbitante dans la mesure où le droit de priorité d'un véhicule venant de la gauche serait quasi absolu; ainsi, le conducteur qui s'engage sur un giratoire n'a notamment pas à compter, sauf indice contraire, avec le fait qu'un véhicule va surgir sur sa gauche de façon inattendue à une vitesse excessive ou qu'un véhicule visible va subitement accélérer pour forcer le passage; le débiteur de la priorité doit pouvoir s'attendre à ce que le conducteur venant sur sa gauche se comporte réglementairement, à savoir que, conformément à l' art. 41b al. 1 OCR , il ralentisse avant d'entrer dans le giratoire ( ATF 127 IV 220 consid. 3a; 124 IV 81 consid. 2b; arrêt 6B_537/2021 précité consid. 1.4.5).</w:t>
      </w:r>
    </w:p>
    <w:p>
      <w:r>
        <w:rPr>
          <w:b/>
        </w:rPr>
        <w:t>E. 2.3</w:t>
      </w:r>
    </w:p>
    <w:p>
      <w:r>
        <w:t>En l'espèce, il est constant que le recourant s'est engagé dans le giratoire " D.________ " alors que le véhicule de l'intimée arrivait sur sa gauche. Il ressort en outre du jugement attaqué que la visibilité était bonne. La cour cantonale a en particulier relevé que la configuration des lieux et la trajectoire rectiligne empruntée par l'intimée la rendait visible par le recourant lorsqu'il s'est approché du giratoire, même si, aux dires des juges précédents, elle allait trop vite. En outre, à teneur du jugement attaqué, l'expert privé mandaté par le recourant lui-même a de surcroît précisé que sa visibilité n'avait pas été entravée par la position du soleil. Il est encore relevé que le véhicule de l'intimée était de couleur rouge. Compte tenu de ces différents éléments, la cour cantonale était fondée à considérer que le recourant aurait pu et dû apercevoir le véhicule de l'intimée. Cette dernière, venant de la gauche tout en étant visible, était prioritaire. À cet égard, les juges précédents pouvaient en outre considérer, sans violer le droit fédéral, qu'il incombait alors au recourant d'accorder une attention particulière au véhicule de l'intimée, prioritaire comme on l'a souligné, et d'adapter sa propre évolution de manière à lui accorder la priorité ou tout au moins à s'assurer qu'il pouvait envisager de poursuivre sa route sans la gêner ou l'obliger à freiner. La cour cantonale a d'ailleurs relevé à juste titre que le recourant ne pouvait plaider de bonne foi qu'il pouvait compter sur le fait que l'intimée allait décélérer comme il lui appartenait de le faire en approchant elle-même du giratoire, tout en reconnaissant dans le même temps qu'il ne l'avait pas aperçue. Il ne prétend d'ailleurs pas qu'il aurait mal apprécié la position ou la vitesse d'évolution de l'intimée ni qu'il aurait été surpris à cet égard. Comme souligné, il ne l'a tout simplement pas vue, alors qu'une attention suffisante lui aurait permis de l'apercevoir. Or, ce constat demeure y compris en retenant, en faveur du recourant, la version selon laquelle son propre véhicule se trouvait sur la ligne du signal " cédez le passage " 1.6 seconde avant la collision, alors que l'automobile de l'intimée n'avait pas encore pénétré dans le giratoire. Même dans cette optique, l'intimée en était suffisamment proche pour que la question du droit de priorité, dont le recourant était débiteur, fût dénuée d'équivoque. À cela s'ajoute encore que ce manque d'attention du recourant, qualifié à bon droit de faute grave par la cour cantonale, le prive de la faculté de se prévaloir du principe de la confiance (cf. supra consid. 2.2.1). En tout état, les constatations cantonales, qui lient la cour de céans ( art. 105 al. 1 LTF ), permettent de retenir, eu égard à la bonne visibilité mise en exergue, que le véhicule de l'intimée n'a pas surgi de manière inattendue dans le giratoire. La cour cantonale retient certes qu'elle roulait à peu près à 80 km/h à l'entrée du giratoire et que, par prudence, elle aurait dû ralentir. Toutefois, c'est bien le recourant, débiteur de la priorité, qui lui a coupé la route et qui est à l'origine de la collision. Il est patent que le recourant a violé les devoirs qui lui incombaient en particulier sous l'angle de l' art. 41b OCR et qu'il a ainsi violé son devoir de diligence. Le recourant ne saurait donc être suivi lorsqu'il semble contester ses propres manquements. S'agissant ensuite du lien de causalité adéquate et de sa rupture invoquée par le recourant, le jugement attaqué retient certes que l'intimée s'est présentée dans le giratoire en circulant à une vitesse excessive et n'a pas décéléré comme il lui appartenait de le faire ( art. 41b al. 1 OCR ). Il en ressort également qu'elle n'a pas voué une attention suffisante aux véhicules susceptibles de se présenter sur sa gauche. Pour autant, ce comportement ne représente en rien une circonstance à ce point exceptionnelle ou extraordinaire qu'il faudrait la qualifier d'imprévisible. On ne saurait donc admettre qu'il ait pu revêtir une importance telle qu'il faille y voir la cause immédiate de la collision tout en reléguant, comme le prétend en vain le recourant, les propres manquements de ce dernier. Au demeurant, le recourant développe à cet égard une argumentation dans laquelle il expose librement, partant de façon appellatoire, une thèse basée sur l'expertise privée qu'il a fait réaliser, sans exposer à satisfaction de droit (art. 42 al. 2 et 106 al. 2 LTF) en quoi la cour cantonale aurait arbitrairement omis de tenir compte des éléments et calculs dont il fait état pour soutenir qu'un comportement différent de l'intimée aurait permis d'éviter la collision. Ce pan du grief est donc irrecevable. En définitive, la cour cantonale pouvait donc considérer, sans violer le droit fédéral, que les éléments constitutifs de l'infraction sanctionnée par l' art. 125 al. 1 et 2 CP étaient en l'espèce réalisés. Il s'ensuit que son grief s'avère manifestement mal fondé et doit donc être rejeté.</w:t>
      </w:r>
    </w:p>
    <w:p>
      <w:r>
        <w:rPr>
          <w:b/>
        </w:rPr>
        <w:t>E. 3</w:t>
      </w:r>
    </w:p>
    <w:p>
      <w:r>
        <w:t>Sur le vu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