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1149/2013 vom 13. November 2014</w:t>
      </w:r>
    </w:p>
    <w:p>
      <w:r>
        <w:t>Bundesgericht, 2014-11-13, DE</w:t>
      </w:r>
    </w:p>
    <w:p>
      <w:r>
        <w:rPr>
          <w:b/>
        </w:rPr>
        <w:t xml:space="preserve">Quelle: </w:t>
      </w:r>
      <w:r>
        <w:t>https://mcp.opencaselaw.ch/entscheid/bger_6B_1149_2013</w:t>
      </w:r>
    </w:p>
    <w:p>
      <w:r>
        <w:t>FR: TF 6B 1149/2013 du 13 novembre 2014</w:t>
      </w:r>
    </w:p>
    <w:p>
      <w:r>
        <w:t>IT: TF 6B 1149/2013 del 13 novembre 2014</w:t>
      </w:r>
    </w:p>
    <w:p>
      <w:pPr>
        <w:pStyle w:val="Heading2"/>
      </w:pPr>
      <w:r>
        <w:t>Regeste</w:t>
      </w:r>
    </w:p>
    <w:p>
      <w:r>
        <w:t>Verletzung des Privatbereichs durch ein Aufnahmegerät (Art. 179quater StGB) | Straftaten</w:t>
      </w:r>
    </w:p>
    <w:p>
      <w:pPr>
        <w:pStyle w:val="Heading2"/>
      </w:pPr>
      <w:r>
        <w:t>Erwägungen</w:t>
      </w:r>
    </w:p>
    <w:p>
      <w:r>
        <w:rPr>
          <w:b/>
        </w:rPr>
        <w:t>E. 1.1</w:t>
      </w:r>
    </w:p>
    <w:p>
      <w:r>
        <w:t>Der Beschwerdeführer rügt eine Verletzung von Art. 179quater StGB . Danach macht sich strafbar, wer eine Tatsache aus dem Geheimbereich eines andern oder eine nicht jedermann ohne weiteres zugängliche Tatsache aus dem Privatbereich eines andern ohne dessen Einwilligung mit einem Aufnahmegerät beobachtet oder auf einen Bildträger aufnimmt.</w:t>
      </w:r>
    </w:p>
    <w:p>
      <w:r>
        <w:rPr>
          <w:b/>
        </w:rPr>
        <w:t>E. 1.2</w:t>
      </w:r>
    </w:p>
    <w:p>
      <w:r>
        <w:t>Nach Auffassung der Vorinstanz ist der Tatbestand erfüllt. Mit Verweis auf BGE 118 IV 41 führt sie aus, durch Art. 179quater Abs. 1 StGB sei auch der unmittelbar an ein Wohnhaus angrenzende Bereich geschützt und zwar unabhängig davon, ob dieser im Sinne von Art. 186 StGB umfriedet sei oder nicht und ob er bei Vorliegen einer Umfriedung ohne Mühe oder erst nach Überwindung des physischen Hindernisses einsehbar sei. Zum Privatbereich im engeren Sinne gehöre nicht nur, was sich im Haus selbst, sondern auch, was sich in dessen unmittelbarer Umgebung abspiele. Zu dieser zähle insbesondere der Bereich direkt vor der Haustüre eines Wohnhauses. Die Beschwerdegegner hätten sich im Tatzeitpunkt auf dem Treppenpodest vor ihrer Haustüre und damit im von Art. 179quater Abs. 1 StGB geschützten Bereich aufgehalten. Indem der Beschwerdeführer sie dort ohne ihre Einwilligung gefilmt habe, habe er den Tatbestand nach Art. 179quater Abs. 1 StGB erfüllt (Urteil, S. 7 f.).</w:t>
      </w:r>
    </w:p>
    <w:p>
      <w:r>
        <w:rPr>
          <w:b/>
        </w:rPr>
        <w:t>E. 1.3</w:t>
      </w:r>
    </w:p>
    <w:p>
      <w:r>
        <w:t>Die Vorinstanz gibt die bundesgerichtliche Rechtsprechung korrekt wieder. Allerdings übersieht sie, dass sich der vorliegende Sachverhalt von jenem in BGE 118 IV 45 wesentlich unterscheidet. Während es dort um den unmittelbaren Eingangsbereich eines Einfamilienhauses mit eigenem Garten gegangen war, spielte sich das Geschehen hier auf dem Vorplatz und Treppenpodest eines Mehrfamilienhauses ab, das der Beschwerdeführer und die Beschwerdegegner 2-4 gemeinsam bewohnen. Dabei handelt es sich um einen Bereich der Liegenschaft, der von beiden Wohnparteien gleichermassen genutzt wird und an dem diese je kein ausschliessliches Hausrecht besitzen. Entsprechend geniesst im Innenverhältnis zwischen den Hausbewohnern an den genannten Orten niemand denselben Schutz seiner Privatsphäre, wie dies in der eigenen Wohnung oder eben im nahen Eingangsbereich eines Einfamilienhauses der Fall wäre, an dem einer Partei das alleinige Hausrecht zusteht. Folglich können die Beschwerdegegner 2-4 dem Beschwerdeführer gegenüber nicht geltend machen, sie hätten sich auf dem Treppenpodest in ihrem Privatbereich befunden. Damit fehlt es an einem objektiven Tatbestandselement von Art. 179quater Abs. 1 StGB .</w:t>
      </w:r>
    </w:p>
    <w:p>
      <w:r>
        <w:rPr>
          <w:b/>
        </w:rPr>
        <w:t>E. 1.4</w:t>
      </w:r>
    </w:p>
    <w:p>
      <w:r>
        <w:t>Die Beschwerde ist gutzuheissen. Der angefochtene Entscheid ist aufzuheben und die Sache zur neuen Beurteilung im Sinne der Erwägungen an die Vorinstanz zurückzuweisen. Damit sind die weiteren Vorbringen des Beschwerdeführers nicht zu prüfen.</w:t>
      </w:r>
    </w:p>
    <w:p>
      <w:r>
        <w:rPr>
          <w:b/>
        </w:rPr>
        <w:t>E. 2</w:t>
      </w:r>
    </w:p>
    <w:p>
      <w:r>
        <w:t>Es sind keine Gerichtskosten zu erheben ( Art. 66 Abs. 4 BGG ). Der Kanton Luzern hat dem Beschwerdeführer eine angemessene Parteientschädigung auszurichten ( Art. 68 Abs. 1 und 2 BGG ). Damit wird sein Gesuch um unentgeltliche Rechtspflege gegenstandslos. Praxisgemäss ist die Parteientschädigung dem Rechtsvertreter des Beschwerdeführers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