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6B_1148/2018 vom 6. Dezember 2018</w:t>
      </w:r>
    </w:p>
    <w:p>
      <w:r>
        <w:t>Bundesgericht, 2018-12-06, FR</w:t>
      </w:r>
    </w:p>
    <w:p>
      <w:r>
        <w:rPr>
          <w:b/>
        </w:rPr>
        <w:t xml:space="preserve">Quelle: </w:t>
      </w:r>
      <w:r>
        <w:t>https://mcp.opencaselaw.ch/entscheid/bger_6B_1148_2018</w:t>
      </w:r>
    </w:p>
    <w:p>
      <w:r>
        <w:t>FR: TF 6B_1148/2018 du 6 décembre 2018</w:t>
      </w:r>
    </w:p>
    <w:p>
      <w:r>
        <w:t>IT: TF 6B_1148/2018 del 6 dicembre 2018</w:t>
      </w:r>
    </w:p>
    <w:p>
      <w:pPr>
        <w:pStyle w:val="Heading2"/>
      </w:pPr>
      <w:r>
        <w:t>Erwägungen</w:t>
      </w:r>
    </w:p>
    <w:p>
      <w:r>
        <w:rPr>
          <w:b/>
        </w:rPr>
        <w:t>E. 1</w:t>
      </w:r>
    </w:p>
    <w:p>
      <w:r>
        <w:t>La recourante se plaint d'une constatation arbitraire des faits. Elle reproche à la cour cantonale d'avoir retenu qu'avant d'entreprendre sa manoeuvre de dépassement, elle avait regardé dans le rétroviseur latéral gauche, mais avait omis de vérifier le rétroviseur intérieur central.</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il n'entre ainsi pas en matière sur les critiques de nature appellatoire ( ATF 142 III 364 consid. 2.4 p. 368). La présomption d'innocence, garantie par les art. 10 CPP ; 32 al. 1 Cst. ; 14 par. 2 Pacte ONU II et 6 par. 2 CEDH,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arrêt 6B_804/2017 du 23 mai 2018 consid. 2.2.3 destiné à la publication).</w:t>
      </w:r>
    </w:p>
    <w:p>
      <w:r>
        <w:rPr>
          <w:b/>
        </w:rPr>
        <w:t>E. 1.2</w:t>
      </w:r>
    </w:p>
    <w:p>
      <w:r>
        <w:t>La recourante soutient que lors de son audition par devant le procureur en date du 14 octobre 2013, elle a indiqué avoir effectué correctement son RTI (rétroviseur-tête-indicateur) tel qu'il lui avait été enseigné avant de passer l'examen relatif au permis de conduire, qu'elle avait d'ailleurs obtenu peu de temps avant l'accident. Or il est notoire qu'une telle procédure implique de consulter le rétroviseur intérieur central, le rétroviseur extérieur latéral gauche ou droit, de tourner la tête et enfin d'enclencher son indicateur pour tourner. Elle avait par la suite toujours maintenu ses déclarations.</w:t>
      </w:r>
    </w:p>
    <w:p>
      <w:r>
        <w:rPr>
          <w:b/>
        </w:rPr>
        <w:t>E. 1.3</w:t>
      </w:r>
    </w:p>
    <w:p>
      <w:r>
        <w:t>La cour cantonale a constaté que lors de son audition par le procureur le 14 octobre 2013, sur question de l'expert qui lui a demandé quel rétroviseur elle avait utilisé, la recourante a répondu que le rétroviseur qu'elle avait regardé avant d'entamer sa manoeuvre de dépassement était le rétroviseur gauche. Elle avait confirmé ses dires devant le procureur le 2 novembre 2015, devant la juge de première instance, au cours des débats du 9 septembre 2016, et devant le juge de la Cour pénale, au cours des débats d'appel du 4 octobre 2018. Ce n'était que dans son écriture d'appel que, pour la première fois, la recourante soutenait avoir regardé dans les rétroviseurs central intérieur et latéral extérieur gauche. Par ailleurs, l'expert a constaté que si la recourante avait regardé dans le rétroviseur intérieur central, elle aurait vu la moto de H.________; or l'intéressée a toujours affirmé qu'elle n'a pas vu le motocycliste avant d'entreprendre sa manoeuvre de dépassement.</w:t>
      </w:r>
    </w:p>
    <w:p>
      <w:r>
        <w:t>Il ressort de ce qui précède que la recourante, quoique interpellée précisément sur la question du rétroviseur utilisé, n'a jamais mentionné le rétroviseur intérieur central, sauf dans son écriture d'appel. L'absence de contrôle de ce rétroviseur va par ailleurs dans le sens des conclusions de l'expert. Dans ces conditions, il n'est pas déterminant que la recourante ait déclaré avoir effectué son RTI, n'étant du reste pas certain qu'elle ait voulu dire par là qu'elle avait vérifié les deux rétroviseurs plutôt qu'un seul. Les constatations de fait de la cour cantonale sont, partant, dénuées d'arbitraire.</w:t>
      </w:r>
    </w:p>
    <w:p>
      <w:r>
        <w:rPr>
          <w:b/>
        </w:rPr>
        <w:t>E. 2</w:t>
      </w:r>
    </w:p>
    <w:p>
      <w:r>
        <w:t>La recourante conteste sa condamnation pour homicide par négligence au sens de l' art. 117 CP . Elle soutient, d'une part, qu'elle n'a pas commis de négligence et, d'autre part, que le lien de causalité adéquate entre son comportement et le décès de H.________ a été rompu par la faute de celui-ci.</w:t>
      </w:r>
    </w:p>
    <w:p>
      <w:r>
        <w:rPr>
          <w:b/>
        </w:rPr>
        <w:t>E. 2.1</w:t>
      </w:r>
    </w:p>
    <w:p>
      <w:r>
        <w:t>Selon l' art. 117 CP ,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Lorsqu'il existe des normes de sécurité spécifiques qui imposent un comportement déterminé pour prévenir les accidents, le devoir de prudence se définit en premier lieu à l'aune de ces normes ( ATF 143 IV 138 consid. 2.1 p. 140; 135 IV 56 consid. 2.1 p. 64). Dans le domaine du trafic routier, on se référera donc aux règles de la circulation ( ATF 126 IV 91 consid. 4a/aa p. 92; 122 IV 133 consid. 2a p. 135; 225 consid. 2a p. 227).</w:t>
      </w:r>
    </w:p>
    <w:p>
      <w:r>
        <w:t>Le changement de voie exige que le conducteur manifeste à temps son intention au moyen de l'indicateur de direction ( art. 39 al. 1 let. a et b LCR ). Même lorsqu'il a engagé son indicateur de direction, le conducteur n'est pas dispensé d'observer les précautions nécessaires ( art. 39 al. 2 LCR ). En particulier, celui qui veut dépasser, se mettre en ordre de présélection ou passer d'une voie à l'autre, est tenu d'avoir égard aux usagers de la route qui viennent en sens inverse ainsi qu'aux véhicules qui le suivent ( art. 34 al. 3 LCR ). Sur les routes marquées de plusieurs voies pour une même direction, le conducteur ne peut passer d'une voie à une autre que s'il n'en résulte pas de danger pour les autres usagers de la route ( art. 44 al. 2 LCR ).</w:t>
      </w:r>
    </w:p>
    <w:p>
      <w:r>
        <w:t>Il faut en outre qu'il existe un rapport de causalité entre la violation fautive du devoir de prudence et le décès de la victime. Les concepts de causalité naturelle et adéquate ont été rappelés récemment aux ATF 143 III 242 consid. 3.7 p. 249 s. et ont notamment été précisés aux ATF 133 IV 158 consid. 6.1 p. 167 s. et 131 IV 145 consid. 5 p. 147 ss, auxquels on peut se référer.</w:t>
      </w:r>
    </w:p>
    <w:p>
      <w:r>
        <w:rPr>
          <w:b/>
        </w:rPr>
        <w:t>E. 2.2</w:t>
      </w:r>
    </w:p>
    <w:p>
      <w:r>
        <w:t>En tant que la recourante soutient avoir fait usage de son rétroviseur intérieur central, elle s'écarte des faits retenus sans arbitraire par la cour cantonale (consid. 1.3 supra). Dès lors que selon les faits constatés, la recourante s'est limitée à vérifier l'absence de véhicule sur la voie de gauche en regardant dans son rétroviseur gauche, sans faire usage du rétroviseur central qui lui aurait permis de remarquer la présence du motocycliste, la cour cantonale pouvait retenir une violation des règles de prudence lors de la manoeuvre de dépassement. La recourante ne conteste du reste pas que le défaut d'usage de l'un des rétroviseurs lors d'un changement de voie sur l'autoroute puisse constituer une violation des art. 34 al. 3 et 44 al. 2 LCR.</w:t>
      </w:r>
    </w:p>
    <w:p>
      <w:r>
        <w:rPr>
          <w:b/>
        </w:rPr>
        <w:t>E. 2.3</w:t>
      </w:r>
    </w:p>
    <w:p>
      <w:r>
        <w:t>La recourante affirme que le comportement qui lui est reproché relève d'une omission d'agir - ne pas avoir regardé dans le rétroviseur intérieur central - et que, dans la mesure où elle n'était pas garante de la sécurité du motard, aucune négligence au sens de l' art. 117 al. 1 CP ne peut lui être imputée.</w:t>
      </w:r>
    </w:p>
    <w:p>
      <w:r>
        <w:rPr>
          <w:b/>
        </w:rPr>
        <w:t>E. 2.3.1</w:t>
      </w:r>
    </w:p>
    <w:p>
      <w:r>
        <w:t>L'homicide par négligence constitue une infraction de résultat, qui suppose en général une action, mais qui, conformément à l' art. 11 al. 1 CP , peut aussi être réalisé par le fait d'un comportement passif contraire à une obligation d'agir (cf. arrêt 6B_661/2015 du 17 mai 2016 consid. 2.1).</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p. 122; BERNARD CORBOZ, Les infractions en droit suisse, Vol. I, 3e éd. 2010, n° 5 ad art. 117 CP ). Dans les cas limites, il faut s'inspirer du principe de la subsidiarité et retenir un délit de commission dès que l'on peut imputer à l'auteur un comportement actif ( ATF 129 IV 119 consid. 2.2 p. 122 et les références citées).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6B_197/2017 du 8 mars 2018 consid. 4.1 et les références citées). Lorsqu'un comportement actif est imputé à l'auteur, la culpabilité de ce dernier doit être envisagée au regard de ses actes, indépendamment du fait qu'il ait eu ou non une position de garant ( ATF 122 IV 145 consid. 2 p. 146; 122 IV 17 consid. 2b/aa p. 21; 121 IV 10 consid. 2b p. 14).</w:t>
      </w:r>
    </w:p>
    <w:p>
      <w:r>
        <w:rPr>
          <w:b/>
        </w:rPr>
        <w:t>E. 2.3.2</w:t>
      </w:r>
    </w:p>
    <w:p>
      <w:r>
        <w:t>A titre liminaire, on relève qu'il serait absurde de considérer, comme l'invoque la recourante, que lorsqu'un automobiliste effectue une manoeuvre sans prendre les précautions que lui impose la loi et provoque ainsi un accident, il ne saurait répondre d'une infraction (lésions corporelles ou homicide) commise par négligence dans la mesure où il n'est pas garant de la sécurité des autres usagers de la route. En l'espèce, le comportement reproché à la recourante consiste à avoir entrepris une manoeuvre de dépassement et ainsi coupé la route au motocycliste, alors que si elle avait satisfait à tous ses devoirs de prudence, en particulier si elle avait vérifié son rétroviseur central, elle se serait aperçue de la présence de H.________ et aurait renoncé au dépassement. Ainsi, il y a lieu d'imputer à la recourante un comportement actif, d'où il en résulte un délit de commission, ce qui dispense d'examiner plus avant son éventuelle position de garante.</w:t>
      </w:r>
    </w:p>
    <w:p>
      <w:r>
        <w:t>Partant, la cour cantonale n'a pas violé le droit fédéral en concluant à la réalisation de l'élément constitutif de la négligence.</w:t>
      </w:r>
    </w:p>
    <w:p>
      <w:r>
        <w:rPr>
          <w:b/>
        </w:rPr>
        <w:t>E. 2.4</w:t>
      </w:r>
    </w:p>
    <w:p>
      <w:r>
        <w:t>La recourante se prévaut du principe de la confiance.</w:t>
      </w:r>
    </w:p>
    <w:p>
      <w:r>
        <w:t>L' 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p. 505 s.; 143 IV 138 consid. 2.1 p. 140; 125 IV 83 consid. 2b p. 87 et les références citées). Seul celui qui s'est comporté réglementairement peut invoquer le principe de la confiance ( ATF 143 IV 500 consid. 1.2.4 p. 506; 129 IV 282 consid. 2.2.1 p. 285 et les références citées).</w:t>
      </w:r>
    </w:p>
    <w:p>
      <w:r>
        <w:t>Il découle de ce qui précède que la recourante a violé ses devoirs de prudence (consid. 2.2 supra). Faute de s'être comportée réglementairement, elle n'est pas fondée à invoquer le principe de la confiance.</w:t>
      </w:r>
    </w:p>
    <w:p>
      <w:r>
        <w:rPr>
          <w:b/>
        </w:rPr>
        <w:t>E. 2.5</w:t>
      </w:r>
    </w:p>
    <w:p>
      <w:r>
        <w:t>La recourante ne conteste pas que sa manoeuvre de dépassement entreprise sans contrôle du rétroviseur central soit en lien de causalité naturelle avec le décès de H.________. Il sied d'examiner si, ainsi qu'elle le prétend, le comportement de la victime a rompu le lien de causalité adéquate entre la négligence qui lui est imputée et la survenance de l'événement dommageable.</w:t>
      </w:r>
    </w:p>
    <w:p>
      <w:r>
        <w:rPr>
          <w:b/>
        </w:rPr>
        <w:t>E. 2.5.1</w:t>
      </w:r>
    </w:p>
    <w:p>
      <w:r>
        <w:t>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cf. aussi ATF 143 III 242 consid. 3.7 p. 250).</w:t>
      </w:r>
    </w:p>
    <w:p>
      <w:r>
        <w:t>Constitue un comportement imprévisible le fait d'accélérer brusquement pour forcer le passage, de surgir de façon inopinée à une vitesse largement excessive, ou de freiner vigoureusement tout à coup sans raison ( ATF 143 IV 500 consid. 1.2.4 p. 506 et les références citées).</w:t>
      </w:r>
    </w:p>
    <w:p>
      <w:r>
        <w:rPr>
          <w:b/>
        </w:rPr>
        <w:t>E. 2.5.2</w:t>
      </w:r>
    </w:p>
    <w:p>
      <w:r>
        <w:t>Comme la recourante l'observe, la faute de la victime est importante puisque celle-ci circulait à une vitesse excessivement élevée au sens de l' art. 90 al. 2 LCR . En outre, l'expert a constaté que si le motocycliste avait circulé à une vitesse égale ou inférieure à 140 km/h, il aurait été en mesure d'éviter la collision. Pour autant, que le comportement de la victime ait contribué à la survenance du résultat, au point d'en être l'une des causes</w:t>
      </w:r>
    </w:p>
    <w:p>
      <w:r>
        <w:t>sine qua non , ne signifie pas encore qu'il rompt le lien de causalité entre le résultat et le comportement de la recourante, également à l'origine de l'accident.</w:t>
      </w:r>
    </w:p>
    <w:p>
      <w:r>
        <w:t>Le comportement de la victime ne pourrait apparaître comme interruptif du rapport de causalité que dans la mesure où il serait établi que le motocycliste, invisible jusque-là pour la recourante même si elle avait fait preuve de toute l'attention nécessaire, serait apparu brusquement dans son champ de vision au moment où elle n'aurait plus été en mesure de réagir efficacement afin d'éviter l'accident. Tel n'est pas le cas en l'espèce; en effet, il a été retenu que si la recourante avait respecté son devoir de prudence avant d'amorcer sa manoeuvre de dépassement et vérifié non seulement son rétroviseur latéral, mais également son rétroviseur central, elle aurait dû voir le motocycliste et, par conséquent, elle n'aurait pas déboîté sur la voie de roulement de la victime. Ainsi, bien que H.________ circulât à une vitesse largement excessive, il n'a pas surgi de façon inopinée. Le comportement du motocycliste n'était donc pas d'une imprévisibilité telle qu'il suffisait à interrompre le rapport de causalité adéquate. Par le risque qu'il a créé et qui s'est concrétisé avec le décès de la victime, le comportement de la recourante constitue ainsi un facteur qui ne saurait être relégué à l'arrière-plan par l'attitude du motocycliste. Partant, la cour cantonale n'a pas violé le droit fédéral en retenant un lien de causalité adéquate entre la négligence de la recourante et la mort de H.________.</w:t>
      </w:r>
    </w:p>
    <w:p>
      <w:r>
        <w:t>En définitive, il y a lieu d'admettre que c'est sans violer le droit fédéral que l'autorité cantonale a reconnu la recourante coupable d'homicide par négligence.</w:t>
      </w:r>
    </w:p>
    <w:p>
      <w:r>
        <w:rPr>
          <w:b/>
        </w:rPr>
        <w:t>E. 3</w:t>
      </w:r>
    </w:p>
    <w:p>
      <w:r>
        <w:t>La recourante critique la fixation de la peine. Elle fait valoir que la peine devrait tenir compte du fait qu'elle avait certes utilisé son rétroviseur central, mais probablement trop tôt par rapport à la vitesse du motocycliste. Son grief s'appuie sur des faits qui s'écartent de ceux établis sans arbitraire par la cour cantonale (cf. consid. 1 supra), de sorte qu'il est irrecevable. En l'absence d'autre critique élevée à l'encontre de la peine, le recours n'a pas à être approfondi sur cet aspect.</w:t>
      </w:r>
    </w:p>
    <w:p>
      <w:r>
        <w:rPr>
          <w:b/>
        </w:rPr>
        <w:t>E. 4</w:t>
      </w:r>
    </w:p>
    <w:p>
      <w:r>
        <w:t>La recourante conteste sa condamnation au versement d'une indemnité équitable à titre de réparation morale aux parties plaignantes ainsi qu'au paiement des frais et dépens pour les procédures de première et de deuxième instance. Dès lors que ces griefs supposent que la recourante ne soit pas reconnue coupable d'homicide par négligence, ils sont irrecevables.</w:t>
      </w:r>
    </w:p>
    <w:p>
      <w:r>
        <w:rPr>
          <w:b/>
        </w:rPr>
        <w:t>E. 5</w:t>
      </w:r>
    </w:p>
    <w:p>
      <w:r>
        <w:t>Le recours doit ainsi être rejeté dans la mesure où il est recevable. La recourante, qui succombe, supporte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