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1146/2019 vom 9. Oktober 2019</w:t>
      </w:r>
    </w:p>
    <w:p>
      <w:r>
        <w:t>Bundesgericht, 2019-10-09, FR</w:t>
      </w:r>
    </w:p>
    <w:p>
      <w:r>
        <w:rPr>
          <w:b/>
        </w:rPr>
        <w:t xml:space="preserve">Quelle: </w:t>
      </w:r>
      <w:r>
        <w:t>https://mcp.opencaselaw.ch/entscheid/bger_6B_1146_2019</w:t>
      </w:r>
    </w:p>
    <w:p>
      <w:r>
        <w:t>FR: TF 6B 1146/2019 du 9 octobre 2019</w:t>
      </w:r>
    </w:p>
    <w:p>
      <w:r>
        <w:t>IT: TF 6B 1146/2019 del 9 ottobre 2019</w:t>
      </w:r>
    </w:p>
    <w:p>
      <w:pPr>
        <w:pStyle w:val="Heading2"/>
      </w:pPr>
      <w:r>
        <w:t>Regeste</w:t>
      </w:r>
    </w:p>
    <w:p>
      <w:r>
        <w:t>Irrecevabilité du recours en matière pénale | Procédure pénale</w:t>
      </w:r>
    </w:p>
    <w:p>
      <w:pPr>
        <w:pStyle w:val="Heading2"/>
      </w:pPr>
      <w:r>
        <w:t>Erwägungen</w:t>
      </w:r>
    </w:p>
    <w:p>
      <w:r>
        <w:rPr>
          <w:b/>
        </w:rPr>
        <w:t>E. 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soit en particulier l'accusé (let. b ch. 1) ou la partie plaignante, si la décision attaquée peut avoir des effets sur le jugement de ses prétentions civiles (let. b ch. 5). En l'espèce, A.________ a pris part à la procédure de dernière instance cantonale. Dans ce cadre, il a demandé la révision d'un jugement pénal par lequel il avait été condamné. Il a, partant, qualité pour recourir au Tribunal fédéral. En revanche, il n'apparaît pas que B.________ aurait, à quelque titre que ce fût, pris part à la procédure de dernière instance cantonale, ni qu'elle aurait été privée de la possibilité de le faire. En outre, bien que celle-ci évoque, à propos de sa qualité pour recourir, l'art. 81 al. 1 let. b ch. 5 LTF, on ne voit pas que la prénommée aurait revêtu la qualité de partie plaignante dans le cadre de la présente procédure. B.________ n'a donc pas qualité pour recourir au Tribunal fédéral, de sorte que le recours est irrecevable en ce qui la concerne.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 En l'occurrence, le jugement attaqué a exclusivement porté sur la recevabilité de la demande de révision formée par A.________ contre le jugement du 18 janvier 2006, de sorte que les critiques adressées directement à cette dernière décision par le prénommé ne font pas l'objet de la présente procédure. Pour le reste, A.________ présente des développements confus, en exposant divers principes ou normes juridiques, sans expliquer, au moyen d'une argumentation topique répondant aux exigences de motivation découlant des art. 42 al. 2 et 106 al. 2 LTF, en quoi ceux-ci auraient pu être violés par la cour cantonale. Enfin, on peut relever que le prénommé ne présente pas davantage une argumentation recevable, répondant aux exigences de motivation découlant des art. 42 al. 2 et 106 al. 2 LTF, dans la mesure où il se borne à exposer les principes encadrant la récusation des magistrats, sans préciser en quoi ceux-ci seraient applicables en l'espèce.</w:t>
      </w:r>
    </w:p>
    <w:p>
      <w:r>
        <w:rPr>
          <w:b/>
        </w:rPr>
        <w:t>E. 3</w:t>
      </w:r>
    </w:p>
    <w:p>
      <w:r>
        <w:t>Faute de satisfaire aux conditions de recevabilité d'un recours en matière pénale au Tribunal fédéral, le recours doit être déclaré irrecevable en application de l' art. 108 al. 1 let. a et b LTF .</w:t>
      </w:r>
    </w:p>
    <w:p>
      <w:r>
        <w:rPr>
          <w:b/>
        </w:rPr>
        <w:t>E. 4</w:t>
      </w:r>
    </w:p>
    <w:p>
      <w:r>
        <w:t>Le recours est irrecevable. Comme ses conclusions étaient dépourvues de chances de succès, l'assistance judiciaire ne peut être accordée ( art. 64 al. 1 LTF ). Les recourants, qui succombent, supporteront les frais judiciaires ( art. 66 al. 1 LTF ), dont le montant sera fixé en tenant compte de leur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