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6B_1141/2017 vom 7. Juni 2018</w:t>
      </w:r>
    </w:p>
    <w:p>
      <w:r>
        <w:t>Bundesgericht, 2018-06-07, FR</w:t>
      </w:r>
    </w:p>
    <w:p>
      <w:r>
        <w:rPr>
          <w:b/>
        </w:rPr>
        <w:t xml:space="preserve">Quelle: </w:t>
      </w:r>
      <w:r>
        <w:t>https://mcp.opencaselaw.ch/entscheid/bger_6B_1141_2017</w:t>
      </w:r>
    </w:p>
    <w:p>
      <w:r>
        <w:t>FR: TF 6B_1141/2017 du 7 juin 2018</w:t>
      </w:r>
    </w:p>
    <w:p>
      <w:r>
        <w:t>IT: TF 6B_1141/2017 del 7 giugno 2018</w:t>
      </w:r>
    </w:p>
    <w:p>
      <w:pPr>
        <w:pStyle w:val="Heading2"/>
      </w:pPr>
      <w:r>
        <w:t>Erwägungen</w:t>
      </w:r>
    </w:p>
    <w:p>
      <w:r>
        <w:rPr>
          <w:b/>
        </w:rPr>
        <w:t>E. 1</w:t>
      </w:r>
    </w:p>
    <w:p>
      <w:r>
        <w:t>Dans des griefs mêlant différentes questions de fait et de droit, le recourant conteste sa condamnation pour escroquerie pour les cas Ba à Bd précités.</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à savoir, pour l'essentiel, de façon arbitraire ( art. 9 Cst. ; ATF 143 IV 241 consid. 2.3.1 p. 244; ATF 141 IV 369 consid. 6.3 p. 375).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1.2</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1.2.1</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L'escroquerie n'est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w:t>
      </w:r>
    </w:p>
    <w:p>
      <w:r>
        <w:rPr>
          <w:b/>
        </w:rPr>
        <w:t>E. 1.2.2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t>Déterminer ce qu'une personne a su, voulu, envisagé ou accepté relève de l'établissement des faits, que la cour de céans ne peut revoir qu'aux conditions posées à l' art. 97 al. 1 LTF (cf. consid. 1.1).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 133 IV 1 consid. 4.1 i.f. p. 4).</w:t>
      </w:r>
    </w:p>
    <w:p>
      <w:r>
        <w:rPr>
          <w:b/>
        </w:rPr>
        <w:t>E. 1.3</w:t>
      </w:r>
    </w:p>
    <w:p>
      <w:r>
        <w:t>Le recourant ne conteste pas les éléments constitutifs objectifs de l'infraction d'escroquerie, considérés comme réalisés par la cour cantonale. En revanche, il nie tout dessein d'enrichissement illégitime.</w:t>
      </w:r>
    </w:p>
    <w:p>
      <w:r>
        <w:rPr>
          <w:b/>
        </w:rPr>
        <w:t>E. 1.3.1</w:t>
      </w:r>
    </w:p>
    <w:p>
      <w:r>
        <w:t>La cour cantonale a retenu que le recourant se trouvait dans une situation d'endettement désastreuse au moment des faits et qu'il avait pu signer les contrats de bail uniquement grâce à de faux documents. Se fondant sur l'expertise psychiatrique, elle a relevé que le recourant cherchait à épater la galerie en montrant ses moyens alors qu'il savait qu'il était incapable d'assumer des engagements financiers découlant de loyers aussi élevés. En outre, il était évident que le recourant n'aurait pas pu obtenir en location les objets immobiliers dont il était question s'il avait fait état de sa situation financière réelle. Pour la cour cantonale, il ne faisait donc aucun doute que son but était d'obtenir le logement puis de le conserver dès le moment où il ne pourrait plus s'acquitter des loyers. Preuve en était qu'après avoir quitté un logement, il a immédiatement renouvelé l'opération, ce à trois reprises. Partant, la cour cantonale a conclu que l'intention du recourant était de porter atteinte au patrimoine des bailleurs et de s'enrichir à leur détriment, même provisoirement, en jouissant de ces habitations d'un certain standing sans en fournir l'entière contrepartie.</w:t>
      </w:r>
    </w:p>
    <w:p>
      <w:r>
        <w:rPr>
          <w:b/>
        </w:rPr>
        <w:t>E. 1.3.2</w:t>
      </w:r>
    </w:p>
    <w:p>
      <w:r>
        <w:t>A l'encontre de cette analyse, le recourant plaide, d'une part, qu'il avait uniquement l'intention d'obtenir des contrats de location afin de pouvoir loger sa famille et lui-même. D'autre part, il soutient qu'il a toujours eu la ferme intention de s'acquitter des loyers dus, ce qu'il a d'ailleurs fait durant de nombreux mois et qu'il " n'envisageait pas le non-paiement du loyer ". Sa critique est vaine. En effet, il s'agit-là de questions de faits, qui ne peuvent être revues que sous l'angle de l'arbitraire, lequel doit être démontré par une argumentation qui répond aux exigences de motivation de l' art. 106 al. 2 LTF . Dès lors que le recourant s'écarte de l'appréciation de l'autorité cantonale - qui a au contraire retenu que le recourant avait l'intention de porter atteinte au patrimoine des bailleurs et de s'enrichir à leur insu, sans fournir l'entière contrepartie des loyers - en ne présentant qu'une argumentation purement appellatoire, celle-ci est irrecevable. Au demeurant, le fait que le recourant a utilisé des titres falsifiés pour obtenir des baux à loyers, donc un " avantage indu " comme il le soutient, n'empêche nullement, en regard de l'état de fait cantonal de retenir également que le recourant avait l'intention de s'enrichir illégitimement. Enfin, s'agissant de la maison de O.________, même s'il ressort du jugement attaqué que les loyers ont été intégralement payés, il n'était pas arbitraire pour la cour cantonale de retenir un dessein d'enrichissement illégitime pour ce cas également, pour les mêmes raisons que précédemment évoquées, étant précisé que la cour cantonale a retenu que l'infraction était restée au stade de la tentative.</w:t>
      </w:r>
    </w:p>
    <w:p>
      <w:r>
        <w:rPr>
          <w:b/>
        </w:rPr>
        <w:t>E. 1.3.3</w:t>
      </w:r>
    </w:p>
    <w:p>
      <w:r>
        <w:t>Par le biais d'une motivation rudimentaire, le recourant reproche à la cour cantonale de n'avoir pas distingué entre dol, dol éventuel ou négligence consciente. De la sorte, il ne présente aucun argument qui répond aux exigences de motivation de l' art. 42 al. 2 LTF . En particulier, il n'expose pas dans quelle mesure l'intensité délictuelle a été mal appréciée par la cour cantonale. Insuffisamment motivé, son grief est irrecevable.</w:t>
      </w:r>
    </w:p>
    <w:p>
      <w:r>
        <w:rPr>
          <w:b/>
        </w:rPr>
        <w:t>E. 1.3.4</w:t>
      </w:r>
    </w:p>
    <w:p>
      <w:r>
        <w:t>Au vu de ce qui précède, les griefs du recourant doivent être rejetés dans la mesure où ils sont recevables et le dessein d'enrichissement illégitime doit être confirmé.</w:t>
      </w:r>
    </w:p>
    <w:p>
      <w:r>
        <w:rPr>
          <w:b/>
        </w:rPr>
        <w:t>E. 2</w:t>
      </w:r>
    </w:p>
    <w:p>
      <w:r>
        <w:t>S'agissant du cas de O.________ (cf. consid. B.d supra), le recourant fait valoir que le jugement attaqué aurait dû le mettre au bénéfice du désistement dès lors qu'il a payé l'intégralité des loyers de la villa.</w:t>
      </w:r>
    </w:p>
    <w:p>
      <w:r>
        <w:t>Il y a désistement lorsque, de sa propre initiative, l'auteur commence à exécuter l'activité punissable, puis renonce à la poursuivre jusqu'à son terme ( art. 23 al. 1 CP ).</w:t>
      </w:r>
    </w:p>
    <w:p>
      <w:r>
        <w:t>Contrairement à ce que le recourant soutient, le jugement cantonal ne constate pas que les loyers ont été payés de sa propre initiative. Le recourant ne formule aucun grief recevable quant à l'omission arbitraire d'un tel fait. Sa critique, qui se distancie des constations cantonales, est irrecevable.</w:t>
      </w:r>
    </w:p>
    <w:p>
      <w:r>
        <w:rPr>
          <w:b/>
        </w:rPr>
        <w:t>E. 3</w:t>
      </w:r>
    </w:p>
    <w:p>
      <w:r>
        <w:t>Le recourant conteste la circonstance aggravante du métier ( art. 146 al. 2 CP ).</w:t>
      </w:r>
    </w:p>
    <w:p>
      <w:r>
        <w:rPr>
          <w:b/>
        </w:rPr>
        <w:t>E. 3.1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 2.1 p. 254). La qualification de métier n'est admise que si l'auteur a déjà agi à plusieurs reprises ( ATF 116 IV 319 consid. 3b; 119 IV 129 consid. 3a; arrêt 6S.78/2001 du 6 décembre 2001 consid. 12b). Les seules infractions tentées ne réalisent pas cette condition (arrêt 6S.89/2005 du 11 mai 2006 consid. 3.3). Le fait que la tentative est absorbée par le délit consommé par métier lorsque l'auteur a commis plusieurs tentatives et des délits consommés ( ATF 123 IV 113 consid. 2d; 105 IV 157 consid. 2 p. 159; 107 IV 172 consid. 4 p. 175) ne s'oppose pas à ce principe (arrêt 6B_117/2015 du 11 février 2016 consid. 24.1).</w:t>
      </w:r>
    </w:p>
    <w:p>
      <w:r>
        <w:rPr>
          <w:b/>
        </w:rPr>
        <w:t>E. 3.2</w:t>
      </w:r>
    </w:p>
    <w:p>
      <w:r>
        <w:t>Le recourant fonde son grief sur le fait que l'escroquerie par métier ne peut pas être retenue dès lors que le dessein d'enrichissement illégitime n'est réalisé pour aucun des quatre cas de location. Ce faisant, il conteste la circonstance aggravante du métier en relation avec la non-réalisation de l'élément subjectif de l'infraction, qu'il n'obtient pas (cf. supra consid. 1). Son grief ne correspond pas aux exigences minimales de motivation de l' art. 42 al. 2 LTF . Il n'y a dès lors pas lieu d'entrer en matière. Pour le surplus, au vu du nombre d'escroqueries qui lui sont reprochées, du fait qu'il a agi aussi souvent que l'occasion se présentait et du dommage chiffré à plusieurs centaines de milliers de francs, on peut admettre que le recourant a exercé son activité à la manière d'une profession. C'est ainsi à juste titre que la cour cantonale a retenu la circonstance aggravante du métier, étant précisé, dans le cas d'espèce, que les infractions tentées insignifiantes par rapport aux escroqueries consommées, n'empêchent nullement de retenir le métier.</w:t>
      </w:r>
    </w:p>
    <w:p>
      <w:r>
        <w:rPr>
          <w:b/>
        </w:rPr>
        <w:t>E. 4</w:t>
      </w:r>
    </w:p>
    <w:p>
      <w:r>
        <w:t>Le recourant invoque une violation des art. 19 al. 2 et 22 CP . Il considère que le jugement entrepris ne permet pas de comprendre dans quelle mesure sa responsabilité légèrement diminuée se manifeste sur l'appréciation de sa culpabilité. Selon lui, ce jugement souffrirait d'un défaut de motivation.</w:t>
      </w:r>
    </w:p>
    <w:p>
      <w:r>
        <w:rPr>
          <w:b/>
        </w:rPr>
        <w:t>E. 4.1</w:t>
      </w:r>
    </w:p>
    <w:p>
      <w:r>
        <w:t>L'infraction d'escroquerie par métier est passible d'une peine privative de liberté de 10 ans au plus ( art. 146 al. 2 CP ).</w:t>
      </w:r>
    </w:p>
    <w:p>
      <w:r>
        <w:t>Les règles générales régissant la fixation de la peine ( art. 47 CP ) ont été rappelées dans les arrêts publiés aux ATF 141 IV 61 et 136 IV 55, auxquels on peut se référer.</w:t>
      </w:r>
    </w:p>
    <w:p>
      <w:r>
        <w:t>Aux termes de l' art. 19 al. 2 CP , le juge atténue la peine si, au moment d'agir, l'auteur ne possédait que partiellement la faculté d'apprécier le caractère illicite de son acte ou de se déterminer d'après cette appréciation.</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141 IV 61 consid. 6.1.2 p. 67).</w:t>
      </w:r>
    </w:p>
    <w:p>
      <w:r>
        <w:t>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20; 129 IV 6 consid. 6.1 p. 20). Plus la peine est élevée, plus la motivation doit être complète ( ATF 127 IV 101 consid. 2c p. 105).</w:t>
      </w:r>
    </w:p>
    <w:p>
      <w:r>
        <w:rPr>
          <w:b/>
        </w:rPr>
        <w:t>E. 4.2</w:t>
      </w:r>
    </w:p>
    <w:p>
      <w:r>
        <w:t>La cour cantonale a considéré que la culpabilité du recourant était très lourde. Il a agi aussi souvent que l'occasion se présentait, sur une relativement longue période, afin de satisfaire tous ses désirs et de vivre dans le luxe. Il n'a pas hésité à abuser de la confiance de ses victimes, qui sont nombreuses. Le préjudice causé est également important. Deux antécédents, pour des faits similaires figurent au casier judiciaire du recourant. L'ouverture d'une enquête à son encontre et la détention provisoire subie de 30 jours ne l'ont pas dissuadé à commettre de nouvelles infractions. Il est incontestable que le recourant était le meneur et que ni J.________ ni I.________ n'auraient commis les faits qui leur sont reprochés sans son intervention. En outre, le concours d'infractions devait être retenu. A la décharge du recourant, l'autorité précédente a retenu une légère diminution de la responsabilité pénale. Elle a également tenu compte des reconnaissances de dettes signées en faveur de certains plaignants et des aveux du recourant.</w:t>
      </w:r>
    </w:p>
    <w:p>
      <w:r>
        <w:t>Dans leur motivation relative à la prise en compte de la diminution de responsabilité du recourant les juges cantonaux, se fondant sur l'expertise, ont considéré que la responsabilité pénale du recourant était légèrement diminuée. Ils ont relevé que la réduction linéaire de la peine de 25% réalisée par le tribunal de première instance ne pouvait plus être appliquée, conformément à la nouvelle jurisprudence du Tribunal fédéral. Ils ont par ailleurs indiqué que les premiers juges avaient, en lien avec l' art. 49 al. 2 CP , à juste titre fixé la peine privative de liberté globale à 4 ans. Enfin, reprenant les développements de l'autorité de première instance, ils ont considéré qu'au vu de la peine prononcée de 3 ans, la peine privative de liberté complémentaire d'une année devait être confirmée.</w:t>
      </w:r>
    </w:p>
    <w:p>
      <w:r>
        <w:rPr>
          <w:b/>
        </w:rPr>
        <w:t>E. 4.3</w:t>
      </w:r>
    </w:p>
    <w:p>
      <w:r>
        <w:t>En l'espèce, c'est à juste titre que la cour cantonale a relevé que la réduction linéaire de la peine de 25% ne pouvait plus être appliquée, conformément à la jurisprudence du Tribunal fédéral (cf. ATF 136 IV 55 consid. 5.5 et 5.6 p. 59 ss). En revanche, si la cour cantonale n'a pas mentionné expressément, comme cela aurait été souhaitable, l'influence de la diminution de la responsabilité sur la culpabilité du recourant, on comprend que la culpabilité du recourant, qui apparaît " très lourde " reste qualifiée de très lourde en considérant une légère diminution de responsabilité. De surcroît, la mauvaise application de la jurisprudence par le tribunal de première instance demeure favorable au recourant, sa peine ayant été diminuée de 25%, élément au demeurant non corrigé par la cour cantonale. Partant, on ne discerne aucune violation du droit fédéral en rapport avec l'application de l' art. 19 al. 2 CP .</w:t>
      </w:r>
    </w:p>
    <w:p>
      <w:r>
        <w:t>Par ailleurs, la critique du recourant est vaine lorsqu'il allègue que le jugement entrepris n'explique pas le poids accordé dans l'appréciation de la culpabilité à chacun des critères d'atténuation. Il appartenait en effet à la cour cantonale d'exposer quels éléments elle prenait en compte dans le cadre de la fixation de la peine, ce qu'elle a fait, mais elle n'était pas tenue d'exprimer en chiffres ou en pourcentages l'importance qu'elle accordait à chacun des éléments qu'elle citait (cf. supra consid. 4.1).</w:t>
      </w:r>
    </w:p>
    <w:p>
      <w:r>
        <w:t>En définitive, le recourant ne cite aucun élément important, propre à modifier la peine, qui aurait été omis ou pris en considération à tort dans la détermination de la quotité de la peine. En fixant une peine complémentaire d'un an, la cour cantonale n'a ni excédé ni abusé de son pouvoir d'appréciation, compte tenu du concours d'infractions, de la faute qualifiée de très lourde, du dommage se montant à plusieurs centaines de milliers de francs et de la peine privative de liberté de 3 ans déjà infligée au recourant pour des faits postérieurs.</w:t>
      </w:r>
    </w:p>
    <w:p>
      <w:r>
        <w:rPr>
          <w:b/>
        </w:rPr>
        <w:t>E. 5</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