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6B_1140/2023 vom 17. November 2023</w:t>
      </w:r>
    </w:p>
    <w:p>
      <w:r>
        <w:t>Bundesgericht, 2023-11-17, DE</w:t>
      </w:r>
    </w:p>
    <w:p>
      <w:r>
        <w:rPr>
          <w:b/>
        </w:rPr>
        <w:t xml:space="preserve">Quelle: </w:t>
      </w:r>
      <w:r>
        <w:t>https://mcp.opencaselaw.ch/entscheid/bger_6B_1140_2023</w:t>
      </w:r>
    </w:p>
    <w:p>
      <w:r>
        <w:t>FR: TF 6B_1140/2023 du 17 novembre 2023</w:t>
      </w:r>
    </w:p>
    <w:p>
      <w:r>
        <w:t>IT: TF 6B_1140/2023 del 17 novembre 2023</w:t>
      </w:r>
    </w:p>
    <w:p>
      <w:pPr>
        <w:pStyle w:val="Heading2"/>
      </w:pPr>
      <w:r>
        <w:t>Erwägungen</w:t>
      </w:r>
    </w:p>
    <w:p>
      <w:r>
        <w:rPr>
          <w:b/>
        </w:rPr>
        <w:t>E. 1</w:t>
      </w:r>
    </w:p>
    <w:p>
      <w:r>
        <w:t>Mit Beschluss vom 28. August 2023 wies das Obergericht des Kantons Bern ein vom Beschwerdeführer eingereichtes Gesuch um Revision des Urteils des Regionalgerichts Bern-Mittelland vom 21. April 2022 ab, soweit es auf dieses eingetreten war. Der Beschwerdeführer wendet sich an das Bundesgericht. Er beantragt u.a. die Gutheissung des "Revisionsverfahrens", respektive dass "dazu beim Experten ein Gutachten einzuholen" sei und einen "Freispruch in sämtlichen Anklagepunkten zwischen 2018-2023".</w:t>
      </w:r>
    </w:p>
    <w:p>
      <w:r>
        <w:rPr>
          <w:b/>
        </w:rPr>
        <w:t>E. 2.1</w:t>
      </w:r>
    </w:p>
    <w:p>
      <w:r>
        <w:t>Gemäss Art. 42 Abs. 2 BGG ist in der Beschwerdebegründung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w:t>
      </w:r>
    </w:p>
    <w:p>
      <w:r>
        <w:rPr>
          <w:b/>
        </w:rPr>
        <w:t>E. 2.2</w:t>
      </w:r>
    </w:p>
    <w:p>
      <w:r>
        <w:t>Das Bundesgericht befindet über Beschwerden gegen bei ihm angefochtene Entscheide letzter kantonaler Instanzen ( Art. 80 Abs. 1 BGG ). Verfahrensgegenstand bildet einzig der vorinstanzliche Beschluss vom 28. August 2023 und damit die Frage, ob die Vorinstanz das Revisionsgesuch des Beschwerdeführers zu Recht abgewiesen hat, soweit es auf dieses eintrat.</w:t>
      </w:r>
    </w:p>
    <w:p>
      <w:r>
        <w:t>Die Vorinstanz hat sich einlässlich mit den vom Beschwerdeführer sinngemäss vorgebrachten Revisionsgründen im Sinne von Art. 410 Abs. 1 lit. a und lit. c StPO auseinandergesetzt (angefochtener Beschluss S. 8 ff.). Damit befasst sich der Beschwerdeführer nicht ansatzweise. Vielmehr begnügt er sich mit dem pauschalen Hinweis, dass er "die Tatsachen und Beweismittel" bis heute nicht habe geltend machen können bzw. dürfen und er mit "massiven" Strafen hätte rechnen müssen. Dies vermag den Begründungsanforderungen ( Art. 42 Abs. 2 BGG ) offensichtlich nicht zu genügen.</w:t>
      </w:r>
    </w:p>
    <w:p>
      <w:r>
        <w:t>Insoweit der Beschwerdeführer die Einleitung eines Verfahrens wegen Amtsmissbrauchs gegen einen Staatsanwalt verlangt, ist er darauf hinzuweisen, dass das Bundesgericht nicht für die Entgegennahme und Behandlung von Strafanzeigen zuständig ist.</w:t>
      </w:r>
    </w:p>
    <w:p>
      <w:r>
        <w:rPr>
          <w:b/>
        </w:rPr>
        <w:t>E. 3</w:t>
      </w:r>
    </w:p>
    <w:p>
      <w:r>
        <w:t>Auf die Beschwerde ist mangels tauglicher Begründung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