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6B_1140/2020 vom 2. Juni 2021</w:t>
      </w:r>
    </w:p>
    <w:p>
      <w:r>
        <w:t>Bundesgericht, 2021-06-02, DE</w:t>
      </w:r>
    </w:p>
    <w:p>
      <w:r>
        <w:rPr>
          <w:b/>
        </w:rPr>
        <w:t xml:space="preserve">Quelle: </w:t>
      </w:r>
      <w:r>
        <w:t>https://mcp.opencaselaw.ch/entscheid/bger_6B_1140_2020</w:t>
      </w:r>
    </w:p>
    <w:p>
      <w:r>
        <w:t>FR: TF 6B_1140/2020 du 2 juin 2021</w:t>
      </w:r>
    </w:p>
    <w:p>
      <w:r>
        <w:t>IT: TF 6B_1140/2020 del 2 giugno 2021</w:t>
      </w:r>
    </w:p>
    <w:p>
      <w:pPr>
        <w:pStyle w:val="Heading2"/>
      </w:pPr>
      <w:r>
        <w:t>Erwägungen</w:t>
      </w:r>
    </w:p>
    <w:p>
      <w:r>
        <w:rPr>
          <w:b/>
        </w:rPr>
        <w:t>E. 1</w:t>
      </w:r>
    </w:p>
    <w:p>
      <w:r>
        <w:t>Vorliegend ist einzig zu prüfen, ob die Einsprache gegen den Strafbefehl rechtzeitig erfolgte.</w:t>
      </w:r>
    </w:p>
    <w:p>
      <w:r>
        <w:rPr>
          <w:b/>
        </w:rPr>
        <w:t>E. 1.1</w:t>
      </w:r>
    </w:p>
    <w:p>
      <w:r>
        <w:t>Gegen den Strafbefehl kann die beschuldigte Person bei der Staatsanwaltschaft innert 10 Tagen schriftlich Einsprache erheben ( Art. 354 Abs. 1 lit. a StPO ). Ohne gültige Einsprache wird der Strafbefehl zum rechtskräftigen Urteil ( Art. 354 Abs. 3 StPO ). Die zehntägige Einsprachefrist beginnt mit der Zustellung des Strafbefehls zu laufen.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 Art. 85 StPO Abs. 2; BGE 144 IV 57 E. 2.3 mit Hinweisen).</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Der Umfang der Beihilfen, die einer beschuldigten Person, deren Muttersprache nicht der Verfahrenssprache entspricht, zuzugestehen sind, ist nicht abstrakt, sondern aufgrund ihrer effektiven Bedürfnisse und den konkreten Umständen des Falles zu würdigen ( BGE 143 IV 117 E. 3.1). Die beschuldigte Person ist grundsätzlich nicht davon entbunden, ihren Übersetzungsbedarf anlässlich nicht übersetzter Verfahrenshandlungen zu signalisieren, resp. gehalten, sich über den Inhalt einer Verfügung zu erkundigen ( BGE 145 IV 197 E. 1.3.3; 118 Ia 462 E. 2.b; Urteil 6B_860/2020 vom 18. November 2020 E. 1.3.1 f.; je mit Hinweisen).</w:t>
      </w:r>
    </w:p>
    <w:p>
      <w:r>
        <w:t>Aus einer unrichtigen Rechtsmittelbelehrung dürfen den Parteien keine Nachteile erwachsen. Eine Partei ist nur dann geschützt, wenn sie sich nach Treu und Glauben ( Art. 5 Abs. 3 BV , Art. 3 Abs. 2 lit. A StPO )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Wann eine grobe prozessuale Unsorgfalt vorliegt, beurteilt sich nach den konkreten Umständen und den Rechtskenntnissen der betreffenden Person ( BGE 138 I 49 E. 8.3.2). Diese Rechtsprechung kommt auch dann zur Anwendung, wenn die Rechtsmittelbelehrung unter Missachtung von Art. 68 Abs. 2 StPO nicht übersetzt wurde. Umso mehr muss dies der Fall sein, wenn eine Übersetzung des Dispositivs fehlt, denn nur diese erlaubt es der beschuldigten Person, die Tragweite der mit dem Strafbefehl ausgesprochenen Sanktion und die Notwendigkeit einer Einsprache einzuschätzen (vgl. dazu Urteil 6B_1294/2019 vom 8. Mai 2020 E. 1.3.2 mit Hinweisen).</w:t>
      </w:r>
    </w:p>
    <w:p>
      <w:r>
        <w:rPr>
          <w:b/>
        </w:rPr>
        <w:t>E. 1.2</w:t>
      </w:r>
    </w:p>
    <w:p>
      <w:r>
        <w:t>Es ist unbestritten, dass der Beschwerdeführer französischer Muttersprache und in Genf aufgewachsen und wohnhaft ist. Weder die Staatsanwaltschaft noch die beiden Vorinstanzen hatten je persönlich Kontakt mit ihm und konnten sich somit kein Bild von seinen Deutschkenntnissen verschaffen. Die Vorinstanz stützt sodann ihre Annahme, wonach der Beschwerdeführer über genügend Deutschkenntnisse verfüge, und eine Übersetzung der wesentlichen Verfahrenshandlungen nach Art. 68 Abs. 2 StPO daher entbehrlich gewesen sei, einzig auf die obligatorische Schulbildung des Beschwerdeführers vor rund 25 Jahren und die Behauptung, dass diese Schulbildung Deutsch als Pflichtfach beinhaltet haben soll. Der vorinstanzliche Nachweis genügender Deutschkenntnisse basiert mithin auf blosser Spekulation. Demgegenüber ist unbestritten, dass der Beschwerdeführer stets in französischer Sprache mit den Behörden kommunizierte und wiederholt auf seine fehlenden Deutschkenntnisse hinwies. Davon ist mangels gegenteiliger Hinweise auszugehen, zumal als notorisch gelten kann, dass Fremdsprachenkenntnisse, sollten sie denn im Rahmen des obligatorischen Schulunterrichts tatsächlich erworben worden sein, bei Nichtgebrauch wieder verloren gehen. Auch aus dem Umstand, dass der Beschwerdeführer über eine höhere Schulbildung verfügt und als Software-Ingenieur tätig ist, kann nichts anderes abgeleitet werden. Er wurde denn auch, offensichtlich aufgrund seines Hinweises auf die mangelnden Deutschkenntnisse, rechtshilfeweise im Kanton Genf und somit in französischer Sprache einvernommen. Zudem hat er sich in der Folge anwaltlich vertreten lassen, nachdem seine Gesuche um Übersetzung des Verfügungsinhalts abschlägig beantwortet worden waren. Es widerspricht daher dem Gerechtigkeitsgedanken, dem Beschwerdeführer, gestützt auf die von der Vorinstanz angeführten Umstände, spekulativer Natur genügende Deutschkenntnisse unterstellen zu wollen. Ihm kann auch kein grobes prozessuales Verschulden vorgeworfen werden. Zum einen handelt es sich bei der Übersetzung der wesentlichen Verfahrenshandlungen nach Art. 68 Abs. 2 StPO um eine Pflicht der Strafverfolgungsbehörden, sodass nicht in erster Linie die beschuldigte Person darum nachsuchen muss, was der Beschwerdeführer im Übrigen getan hat. Zum anderen geht aus dem Dispositiv des Strafbefehls nicht hervor, dass eine Einsprachefrist besteht und wie lange diese laufen würde. Die Rechtsmittelbelehrung findet sich erst auf der dritten Seite des Strafbefehls im Kleingedruckten, wobei die Einsprachefrist nicht als Zahl, sondern in Worten geschrieben steht.</w:t>
      </w:r>
    </w:p>
    <w:p>
      <w:r>
        <w:t>Nach dem Gesagten darf dem Beschwerdeführer aus der dergestalt rechtsfehlerhaften Rechtsmittelbelehrung (vgl. oben E. 1.1) kein Rechtsnachteil erwachsen und die Vorinstanzen hätten seine Einsprache gegen den Strafbefehl vom 19. März 2020 materiell behandeln müssen.</w:t>
      </w:r>
    </w:p>
    <w:p>
      <w:r>
        <w:rPr>
          <w:b/>
        </w:rPr>
        <w:t>E. 2</w:t>
      </w:r>
    </w:p>
    <w:p>
      <w:r>
        <w:t>Der angefochtene Entscheid verletzt Bundesrecht. Die Beschwerde ist gutzuheissen. Der Entscheid ist aufzuheben und die Sache ist zu neuer Beurteilung an die Vorinstanz zurückzuweisen. Ausgangsgemäss sind keine Gerichtskosten zu erheben und der Beschwerdeführer hat zulasten des Kantons Bern Anspruch auf eine angemessene Parteientschädigung (Art. 66 Abs. 1 und 4,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