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6B_1140/2017 vom 3. November 2017</w:t>
      </w:r>
    </w:p>
    <w:p>
      <w:r>
        <w:t>Bundesgericht, 2017-11-03, DE</w:t>
      </w:r>
    </w:p>
    <w:p>
      <w:r>
        <w:rPr>
          <w:b/>
        </w:rPr>
        <w:t xml:space="preserve">Quelle: </w:t>
      </w:r>
      <w:r>
        <w:t>https://mcp.opencaselaw.ch/entscheid/bger_6B_1140_2017</w:t>
      </w:r>
    </w:p>
    <w:p>
      <w:r>
        <w:t>FR: TF 6B_1140/2017 du 3 novembre 2017</w:t>
      </w:r>
    </w:p>
    <w:p>
      <w:r>
        <w:t>IT: TF 6B_1140/2017 del 3 novembre 2017</w:t>
      </w:r>
    </w:p>
    <w:p>
      <w:pPr>
        <w:pStyle w:val="Heading2"/>
      </w:pPr>
      <w:r>
        <w:t>Erwägungen</w:t>
      </w:r>
    </w:p>
    <w:p>
      <w:r>
        <w:rPr>
          <w:b/>
        </w:rPr>
        <w:t>E. 1</w:t>
      </w:r>
    </w:p>
    <w:p>
      <w:r>
        <w:t>Der Beschwerdeführer erstattete am 3. April 2017 Strafanzeige gegen seinen Vermieter wegen Widerhandlung gegen Art. 325bis StGB , eventuell Drohung und Nötigung. Er machte geltend, er habe beim Vermieter in den vergangenen Jahren immer wieder wegen Lärms, Wasserverbrauchs und Sachbeschädigung intervenieren müssen. Am 9. Januar 2017 habe der Vermieter anlässlich eines Telefongesprächs zwei- oder dreimal folgende Drohung ausgesprochen: "Entweder Du nimmst den Boilerstrom auf Deinen Zähler oder wir hängen das Warmwasser ab!" Am 27. Januar 2017 habe der Vermieter ihm gekündigt.</w:t>
      </w:r>
    </w:p>
    <w:p>
      <w:r>
        <w:t>Das Statthalteramt Hinwil verfügte am 4. Juli 2017 die Einstellung des Strafverfahrens. Die vom Beschwerdeführer dagegen erhobene Beschwerde wies das Obergericht des Kantons Zürich am 24. August 2017 ab. Dessen Gesuch um unentgeltliche Rechtspflege wies es ebenfalls ab.</w:t>
      </w:r>
    </w:p>
    <w:p>
      <w:r>
        <w:t>Der Beschwerdeführer beantragt mit Beschwerde in Strafsachen, der Entscheid vom 24. August 2017 sei wegen falscher Rechtsanwendung und Verletzung des Grundsatzes "in dubio pro duriore" aufzuheben und die Sache sei zur weiteren Untersuchung an das Statthalteramt Hinwil zurückzuweisen.</w:t>
      </w:r>
    </w:p>
    <w:p>
      <w:r>
        <w:rPr>
          <w:b/>
        </w:rPr>
        <w:t>E. 2</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äussert sich nicht zu seinen allfälligen Zivilforderungen. Er machte auch im kantonalen Verfahren keine solchen geltend, obschon er von der Vorinstanz im Zusammenhang mit dem Gesuch um unentgeltliche Rechtspflege aufgefordert wurde, darzutun, welche aufgrund des zur Anzeige gebrachten Vorfalls entstandenen Schadenersatz- und Genugtuungsforderungen ihm zustehen könnten (vgl. angefochtener Entscheid E. 9.2 S. 7). In seinem Schreiben vom 2. August 2017 beschränkte er sich vielmehr darauf, Forderungen wegen zu viel bezahlter Nebenkosten zu erwähnen. Diesbezüglich legt die Vorinstanz jedoch zutreffend dar, dass es sich nicht um Forderungen aus dem inkriminierten Vorfall handelt (angefochtener Entscheid E. 9.2 S. 7). Dem Beschwerdeführer fehlt es demnach an der Beschwerdelegitimation in der Sache im Sinne von Art. 81 Abs. 1 lit. b Ziff. 5 BGG.</w:t>
      </w:r>
    </w:p>
    <w:p>
      <w:r>
        <w:rPr>
          <w:b/>
        </w:rPr>
        <w:t>E. 4</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