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6B_113/2023 vom 13. April 2023</w:t>
      </w:r>
    </w:p>
    <w:p>
      <w:r>
        <w:t>Bundesgericht, 2023-04-13, DE</w:t>
      </w:r>
    </w:p>
    <w:p>
      <w:r>
        <w:rPr>
          <w:b/>
        </w:rPr>
        <w:t xml:space="preserve">Quelle: </w:t>
      </w:r>
      <w:r>
        <w:t>https://mcp.opencaselaw.ch/entscheid/bger_6B_113_2023</w:t>
      </w:r>
    </w:p>
    <w:p>
      <w:r>
        <w:t>FR: TF 6B_113/2023 du 13 avril 2023</w:t>
      </w:r>
    </w:p>
    <w:p>
      <w:r>
        <w:t>IT: TF 6B_113/2023 del 13 aprile 2023</w:t>
      </w:r>
    </w:p>
    <w:p>
      <w:pPr>
        <w:pStyle w:val="Heading2"/>
      </w:pPr>
      <w:r>
        <w:t>Erwägungen</w:t>
      </w:r>
    </w:p>
    <w:p>
      <w:r>
        <w:rPr>
          <w:b/>
        </w:rPr>
        <w:t>E. 1</w:t>
      </w:r>
    </w:p>
    <w:p>
      <w:r>
        <w:t>Am 5. Oktober 2022 erhob A.________ gegen B.________ Strafanzeige und warf ihm vor, sich durch die Weiterverbreitung bzw. nicht erfolgte Rücknahme des von ihm verfassten Abklärungsberichts vom 14. Juli 2021 der üblen Nachrede und Verleumdung strafbar gemacht zu haben. Mit Verfügung vom 22. Dezember 2022 nahm die Regionale Staatsanwaltschaft Emmental-Oberaargau das Strafverfahren nicht an die Hand. Eine von A.________ gegen die Nichtanhandnahme erhobene Beschwerde wies das Obergericht des Kantons Bern mit Beschluss vom 17. Januar 2023 ab. A.________ wendet sich mit Beschwerde in Strafsachen ans Bundesgericht.</w:t>
      </w:r>
    </w:p>
    <w:p>
      <w:r>
        <w:rPr>
          <w:b/>
        </w:rPr>
        <w:t>E. 2</w:t>
      </w:r>
    </w:p>
    <w:p>
      <w:r>
        <w:t>Die Staatsanwaltschaft nahm das Verfahren mit der Begründung nicht an die Hand, dass die Strafanzeige verspätet erfolgt sei ( Art. 31 StGB ). Die Vorinstanz stützt diese Auffassung. Ergänzend führt sie unter anderem aus, dass der Ansicht des Beschwerdeführers, wonach die zur Anzeige gebrachten Straftaten fortbestünden, da sich der fragliche Bericht nach wie vor in den IV-Akten befinde, nicht gefolgt werden könne.</w:t>
      </w:r>
    </w:p>
    <w:p>
      <w:r>
        <w:rPr>
          <w:b/>
        </w:rPr>
        <w:t>E. 3</w:t>
      </w:r>
    </w:p>
    <w:p>
      <w:r>
        <w:t>Gemäss Art. 42 Abs. 1 BGG hat die Beschwerde an das Bundesgericht ein Begehren und deren Begründung zu enthalten. In der Beschwerdebegründung ist laut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w:t>
      </w:r>
    </w:p>
    <w:p>
      <w:r>
        <w:t>Die vorliegende Beschwerde genügt diesen Vorgaben nicht. Sie enthält kein Rechtsbegehren und setzt sich mit den vorinstanzlichen Erwägungen nicht hinreichend auseinander. Der Beschwerdeführer beschränkt sich darauf, seine persönliche Sichtweise des Sachverhalts zu schildern, namentlich indem er geltend macht, in den digitalen Akten der IV würden ihm weiterhin Straftaten unterstellt. Weshalb die Vorinstanz, indem sie dieser Ansicht nicht folgt und zum Schluss gelangt, die Strafanzeige sei verspätet eingereicht worden, Recht verletzen sollte, zeigt der Beschwerdeführer nicht auf.</w:t>
      </w:r>
    </w:p>
    <w:p>
      <w:r>
        <w:rPr>
          <w:b/>
        </w:rPr>
        <w:t>E. 5</w:t>
      </w:r>
    </w:p>
    <w:p>
      <w:r>
        <w:t>Auf die Beschwerde wird im Verfahren nach Art. 108 BGG nicht eingetreten. Die Gerichtskosten sind dem unterliegenden Beschwerdeführer aufzuerlegen ( Art. 66 Abs. 1 BGG ). Seinem Gesuch um unentgeltliche Rechtspflege kann angesichts der Aussichtslosigkeit der Beschwerde nicht entsprochen werden ( Art. 64 BGG ). Seiner finanziellen Lage wird mit herabgesetzten Gerichtskosten Rechnung getragen ( Art. 65 Abs. 2 und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