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6B_113/2020 vom 25. März 2020</w:t>
      </w:r>
    </w:p>
    <w:p>
      <w:r>
        <w:t>Bundesgericht, 2020-03-25, FR</w:t>
      </w:r>
    </w:p>
    <w:p>
      <w:r>
        <w:rPr>
          <w:b/>
        </w:rPr>
        <w:t xml:space="preserve">Quelle: </w:t>
      </w:r>
      <w:r>
        <w:t>https://mcp.opencaselaw.ch/entscheid/bger_6B_113_2020</w:t>
      </w:r>
    </w:p>
    <w:p>
      <w:r>
        <w:t>FR: TF 6B_113/2020 du 25 mars 2020</w:t>
      </w:r>
    </w:p>
    <w:p>
      <w:r>
        <w:t>IT: TF 6B_113/2020 del 25 marzo 2020</w:t>
      </w:r>
    </w:p>
    <w:p>
      <w:pPr>
        <w:pStyle w:val="Heading2"/>
      </w:pPr>
      <w:r>
        <w:t>Erwägungen</w:t>
      </w:r>
    </w:p>
    <w:p>
      <w:r>
        <w:rPr>
          <w:b/>
        </w:rPr>
        <w:t>E. 1</w:t>
      </w:r>
    </w:p>
    <w:p>
      <w:r>
        <w:t>Par arrêt du 6 décembre 2019, la Chambre pénale de recours de la Cour de justice de la République et canton de Genève a rejeté le recours formé par A.________ contre l'ordonnance du 19 février 2019 par laquelle le Ministère public genevois a classé la procédure ouverte à la suite de la plainte formée par le prénommé contre D.________, E.________, B.________ et C.________ pour diffamation et calomnie.</w:t>
      </w:r>
    </w:p>
    <w:p>
      <w:r>
        <w:t>A.________ forme un recours en matière pénale au Tribunal fédéral contre l'arrêt précité. Il conclut, avec suite de frais et dépens, principalement, à l'annulation de celui-ci et au renvoi de la cause au Ministère public genevois pour complément d'instruction, subsidiairement à l'annulation de l'arrêt attaqué et au renvoi de la cause à l'autorité précédente pour nouvelle décision au sens des considérants. Il requiert, par ailleurs, l'assistance judiciaire.</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Les mêmes exigences sont requises à l'égard de celui qui se plaint d'infractions attentatoires à l'honneur (parmi d'autres: arrêts 6B_175/2020 du 2 mars 2020 consid. 2.1; 6B_5/2020 du 20 janvier 2020 consid. 2.1; 6B_1188/2019 du 17 octobre 2019 consid. 3.1).</w:t>
      </w:r>
    </w:p>
    <w:p>
      <w:r>
        <w:rPr>
          <w:b/>
        </w:rPr>
        <w:t>E. 2.2</w:t>
      </w:r>
    </w:p>
    <w:p>
      <w:r>
        <w:t>Le recourant ne se détermine nullement sur un éventuel tort moral ou dommage, ni sur leur principe ni sur leur quotité. L'absence d'explications sur la question des prétentions civiles exclut sa qualité pour recourir sur le fond de la cause.</w:t>
      </w:r>
    </w:p>
    <w:p>
      <w:r>
        <w:rPr>
          <w:b/>
        </w:rPr>
        <w:t>E. 2.3</w:t>
      </w:r>
    </w:p>
    <w:p>
      <w:r>
        <w:t>L'hypothèse visée à l'art. 81 al. 1 let. b ch. 6 LTF n'entre pas en considération, le recourant ne soulevant aucun grief quant à son droit de porter plainte.</w:t>
      </w:r>
    </w:p>
    <w:p>
      <w:r>
        <w:rPr>
          <w:b/>
        </w:rPr>
        <w:t>E. 2.4</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w:t>
      </w:r>
    </w:p>
    <w:p>
      <w:r>
        <w:t>Le recourant semble reprocher à la cour cantonale de n'avoir pas statué sur une demande de réouverture de l'instruction qu'il aurait formulée. Le recourant n'invoque toutefois ni violation de son droit d'être entendu, ni déni de justice, pas plus qu'il n'expose en quoi ses droits auraient été violés. A cet égard, il convient de relever que le Tribunal fédéral ne connaît de la violation des droits fondamentaux que si ce moyen est invoqué et motivé par le recourant ( art. 106 al. 2 LTF ), c'est-à-dire s'il a été expressément soulevé et exposé de manière claire et détaillée ( ATF 142 III 364 consid. 2.4 p. 368 et les références citées). Ainsi, l'argumentation du recourant ne répond pas aux exigences de motivation accrues précitées et est irrecevable pour ce motif. Au demeurant, une demande de réouverture doit être adressée au ministère public (cf. art. 323 CPP ) si bien que la demande du recourant ne relevait, quoi qu'il en soit, pas de la compétence de la cour cantonale.</w:t>
      </w:r>
    </w:p>
    <w:p>
      <w:r>
        <w:rPr>
          <w:b/>
        </w:rPr>
        <w:t>E. 3</w:t>
      </w:r>
    </w:p>
    <w:p>
      <w:r>
        <w:t>Sur le vu de ce qui précède, le recours doit être déclaré irrecevable selon la procédure simplifiée prévue par l' art. 108 al. 1 let. a et b LTF . Il était d'emblée dénué de chance de succès. L'assistance judiciaire doit être refusée ( art. 64 al. 1 LTF ). Le recourant, qui succombe, supporte les frais judiciaires, qui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