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6B_1138/2020 vom 2. November 2021</w:t>
      </w:r>
    </w:p>
    <w:p>
      <w:r>
        <w:t>Bundesgericht, 2021-11-02, DE</w:t>
      </w:r>
    </w:p>
    <w:p>
      <w:r>
        <w:rPr>
          <w:b/>
        </w:rPr>
        <w:t xml:space="preserve">Quelle: </w:t>
      </w:r>
      <w:r>
        <w:t>https://mcp.opencaselaw.ch/entscheid/bger_6B_1138_2020</w:t>
      </w:r>
    </w:p>
    <w:p>
      <w:r>
        <w:t>FR: TF 6B_1138/2020 du 2 novembre 2021</w:t>
      </w:r>
    </w:p>
    <w:p>
      <w:r>
        <w:t>IT: TF 6B_1138/2020 del 2 novembre 2021</w:t>
      </w:r>
    </w:p>
    <w:p>
      <w:pPr>
        <w:pStyle w:val="Heading2"/>
      </w:pPr>
      <w:r>
        <w:t>Erwägungen</w:t>
      </w:r>
    </w:p>
    <w:p>
      <w:r>
        <w:rPr>
          <w:b/>
        </w:rPr>
        <w:t>E. 1.1</w:t>
      </w:r>
    </w:p>
    <w:p>
      <w:r>
        <w:t>Der Beschwerdeführer rügt, die Vorinstanz sei bei der Bemessung der Zusatzstrafe zu den Urteilen des Strafgerichts Zug vom 12. Juli 2018 und des Kantonsgerichts Graubünden vom 25. Februar 2019 falsch vorgegangen, da sie für die bereits rechtskräftig beurteilen Straftaten eine neue Strafzumessung vorgenommen habe. Dies verstosse gegen die zu Art. 49 Abs. 2 StGB ergangene bundesgerichtliche Rechtsprechung und den Grundsatz "ne bis in idem".</w:t>
      </w:r>
    </w:p>
    <w:p>
      <w:r>
        <w:rPr>
          <w:b/>
        </w:rPr>
        <w:t>E. 1.2.1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Art. 49 Abs. 2 StGB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 BGE 142 IV 265 E. 2.3.1 mit Hinweisen).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Bei retrospektiver Konkurrenz hat der Richter ausnahmsweise mittels Zahlenangaben offenzulegen, wie sich die von ihm zugemessene Strafe quotenmässig zusammensetzt ( BGE 142 IV 265 E. 2.3.3 mit Hinweisen).</w:t>
      </w:r>
    </w:p>
    <w:p>
      <w:r>
        <w:rPr>
          <w:b/>
        </w:rPr>
        <w:t>E. 1.2.2</w:t>
      </w:r>
    </w:p>
    <w:p>
      <w:r>
        <w:t>Das Bundesgericht betonte in BGE 142 IV 265 E. 2.4 die Bedeutung der Rechtskraft früherer Urteile bei der retrospektiven Konkurrenz. Art. 49 Abs. 2 StGB erlaubt nach dieser Rechtsprechung keine erneute Überprüfung der in Rechtskraft erwachsenen Strafe. Das Zweitgericht darf im Rahmen der retrospektiven Konkurrenz die Grundstrafe nicht aufheben ( BGE 142 IV 265 E. 2.4.1) bzw. darauf zurückkommen. Zwar hat es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 BGE 142 IV 254 E. 2.4.2).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Ist die (abstrakt) schwerste Straftat in der Grundstrafe enthalten, ist die Grundstrafe aufgrund der Einzelstrafen der neu zu beurteilenden Delikte angemessen zu erhöhen. Anschliessend ist von der (gedanklich) gebildeten Gesamtstrafe die Grundstrafe abzuziehen, was die Zusatzstrafe ergibt ( BGE 142 IV 265 E. 2.4.4).</w:t>
      </w:r>
    </w:p>
    <w:p>
      <w:r>
        <w:rPr>
          <w:b/>
        </w:rPr>
        <w:t>E. 1.3.1</w:t>
      </w:r>
    </w:p>
    <w:p>
      <w:r>
        <w:t>Die Vorinstanz erwähnt in ihrem Entscheid die zuvor zitierte Rechtsprechung BGE 142 IV 265 . In der Folge nimmt sie dennoch für sämtliche Straftaten - auch für die bereits vom Strafgericht Zug am 12. Juli 2018 und vom Kantonsgericht Graubünden am 25. Februar 2019 beurteilten - eine eigene Strafzumessung vor. Dieses Vorgehen verstösst gegen BGE 142 IV 265 . Schwerste Tat ist vorliegend der vom Kantonsgericht Graubünden beurteilte gewerbsmässige Betrug (angefochtenes Urteil E. 9.2.6.2 S. 131; Beschwerde Ziff. 21 S. 8). Die retrospektive Konkurrenz in Bezug auf den vom Strafgericht Zug am 12. Juli 2018 beurteilen mehrfachen Betrug wurde zudem bereits im Urteil des Kantonsgerichts Graubünden vom 25. Februar 2019 berücksichtigt. Der Beschwerdeführer legt daher zutreffend dar, die Vorinstanz hätte sich darauf beschränken müssen, die Grundstrafe von 55 Monaten (vier Jahre und sieben Monate) gemäss Urteil des Kantonsgerichts Graubünden vom 25. Februar 2019 anhand der Einzelstrafen für die von ihm neu zu beurteilenden Delikte angemessen zu erhöhen. Von dieser hypothetischen Gesamtstrafe sind die bereits rechtskräftigen Strafen gemäss den Urteilen des Strafgerichts Zug vom 12. Juli 2018 und des Kantonsgerichts Graubünden vom 25. Februar 2019 in Abzug zu bringen (vgl. oben E. 1.2.2).</w:t>
      </w:r>
    </w:p>
    <w:p>
      <w:r>
        <w:rPr>
          <w:b/>
        </w:rPr>
        <w:t>E. 1.3.2</w:t>
      </w:r>
    </w:p>
    <w:p>
      <w:r>
        <w:t>Die Oberstaatsanwaltschaft macht in ihrer Stellungnahme geltend, die Vorinstanz lasse in E. 9.2.6.2 im Ergebnis die gemäss Urteil des Kantonsgerichts Graubünden verhängte Grundstrafe von 3 Jahren und 8 Monaten unberührt. Ihre Ausführungen zur Strafzumessung würden sich unter Nennung der Belegstellen ausdrücklich auf das Urteil des Kantonsgerichts Graubünden beziehen und keinen Eingriff in die Strafzumessung bezüglich dieses rechtskräftigen Urteils darstellen. Auch bezüglich des Urteils des Strafgerichts Zugs sei dieses von der Vorinstanz analog als angemessen erachtet worden (act. 11, Stellungnahme Oberstaatsanwaltschaft S. 1).</w:t>
      </w:r>
    </w:p>
    <w:p>
      <w:r>
        <w:t>Zwar mag allenfalls zutreffen, dass sich die Vorinstanz für die Beurteilung der schwersten Tat am Urteil des Kantonsgerichts Graubünden vom 25. Februar 2019 (vgl. angefochtenes Urteil E. 9.2.6.2 S. 131) und für die selbstständige Beurteilung des bereits im Kanton Zug beurteilten mehrfachen Betrugs am entsprechenden Urteil des Strafgerichts des Kantons Zug vom 12. Juli 2018 orientiert (vgl. angefochtenes Urteil E. 9.2.6.3 S. 135). Allerdings bleibt es dabei, dass die Vorinstanz zu Unrecht eine neue Strafzumessung und insbesondere eine neue Asperation nach eigenem Ermessen der bereits im Urteil des Kantonsgerichts Graubünden vom 25. Februar 2019 berücksichtigten weiteren Straftaten (mehrfache Urkundenfälschung und Geldwäscherei; mehrfacher Betrug gemäss Urteil des Strafgerichts des Kantons Zug vom 12. Juli 2018) vornimmt. Damit griff sie zu Unrecht in das rechtskräftige Urteil des Kantonsgerichts Graubünden vom 25. Februar 2019 ein. Der Beschwerdeführer legt in seiner Beschwerde dar, dass und weshalb sich dieses Vorgehen zu seinen Ungunsten auswirkte. Seine Ausführungen sind nachvollziehbar und seine Rüge daher begründet.</w:t>
      </w:r>
    </w:p>
    <w:p>
      <w:r>
        <w:t>Damit erübrigt sich eine Prüfung der weiteren Rügen des Beschwerdeführers betreffend die Strafzumessung.</w:t>
      </w:r>
    </w:p>
    <w:p>
      <w:r>
        <w:rPr>
          <w:b/>
        </w:rPr>
        <w:t>E. 2</w:t>
      </w:r>
    </w:p>
    <w:p>
      <w:r>
        <w:t>Die Beschwerde ist gutzuheissen, soweit darauf einzutreten ist. Der angefochtene Entscheid ist aufzuheben und die Sache zur Neubeurteilung an die Vorinstanz zurückzuweisen. Es sind keine Kosten zu erheben ( Art. 66 Abs. 4 BGG ). Der Kanton Luzern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