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1138/2018 vom 12. November 2018</w:t>
      </w:r>
    </w:p>
    <w:p>
      <w:r>
        <w:t>Bundesgericht, 2018-11-12, FR</w:t>
      </w:r>
    </w:p>
    <w:p>
      <w:r>
        <w:rPr>
          <w:b/>
        </w:rPr>
        <w:t xml:space="preserve">Quelle: </w:t>
      </w:r>
      <w:r>
        <w:t>https://mcp.opencaselaw.ch/entscheid/bger_6B_1138_2018</w:t>
      </w:r>
    </w:p>
    <w:p>
      <w:r>
        <w:t>FR: TF 6B 1138/2018 du 12 novembre 2018</w:t>
      </w:r>
    </w:p>
    <w:p>
      <w:r>
        <w:t>IT: TF 6B 1138/2018 del 12 novembre 2018</w:t>
      </w:r>
    </w:p>
    <w:p>
      <w:pPr>
        <w:pStyle w:val="Heading2"/>
      </w:pPr>
      <w:r>
        <w:t>Regeste</w:t>
      </w:r>
    </w:p>
    <w:p>
      <w:r>
        <w:t>Non-entrée en matière (détournement de fonds, abus de pouvoir) | Procédure pénale</w:t>
      </w:r>
    </w:p>
    <w:p>
      <w:pPr>
        <w:pStyle w:val="Heading2"/>
      </w:pPr>
      <w:r>
        <w:t>Erwägungen</w:t>
      </w:r>
    </w:p>
    <w:p>
      <w:r>
        <w:rPr>
          <w:b/>
        </w:rPr>
        <w:t>E. 1</w:t>
      </w:r>
    </w:p>
    <w:p>
      <w:r>
        <w:t>Par acte du 7 novembre 2018, X.________ forme un recours en matière pénale au Tribunal fédéral contre un arrêt du 5 octobre 2018. Par cette décision, la Chambre pénale du Tribunal cantonal fribourgeois a rejeté, dans la mesure de sa recevabilité, le recours interjeté par l'intéressé contre une ordonnance du 1er juin 2018 émanant du Ministère public fribourgeois. Dite ordonnance refusait d'entrer en matière sur la plainte déposée par X.________ pour "détournement de fonds et abus de pouvoir " contre A.________, chef de secteur au Service B.________, curateur de représentation, puis tuteur des enfants de X.________.</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arrêts cités). En l'espèce, la plainte reprochait à A.________, en tant que tuteur des filles du recourant, d'avoir détourné à son profit une somme de 500 fr. et la décision cantonale constate que A.________ est devenu tuteur des enfants du recourant lorsque l'autorité parentale a été retirée à celui-ci. Il s'ensuit que l'on ne perçoit pas concrètement quelle prétention le recourant pourrait élever à titre personnel contre le tuteur, dès lors qu'il n'agit pas au nom de ses enfants. De surcroît, autant qu'on le comprenne, le recourant ne paraît pas contester qu'en définitive les 500 fr. en question ont été versés sur le compte de ses enfants. On ne conçoit donc pas non plus sous cet angle en quoi pourraient raisonnablement consister d'éventuelles prétentions du recourant à l'égard du tuteur ou curateur de ses enfants, à déduire par voie de jonction dans une procédure pénale.</w:t>
      </w:r>
    </w:p>
    <w:p>
      <w:r>
        <w:rPr>
          <w:b/>
        </w:rPr>
        <w:t>E. 3</w:t>
      </w:r>
    </w:p>
    <w:p>
      <w:r>
        <w:t>Pour le surplus, le recourant n'invoque expressément ni violation de son droit de porter plainte (art. 81 al. 1 let. a et b ch. 6 LTF), ni atteinte à aucun droit procédural entièrement séparé du fond, susceptible de lui conférer la qualité pour recourir en matière pénale (cf. ATF 141 IV 1 consid. 1.1 p. 5; 136 IV 29 consid. 1.9 et les références citées).</w:t>
      </w:r>
    </w:p>
    <w:p>
      <w:r>
        <w:rPr>
          <w:b/>
        </w:rPr>
        <w:t>E. 4</w:t>
      </w:r>
    </w:p>
    <w:p>
      <w:r>
        <w:t>Au vu de ce qui précède le recours est manifestement irrecevable, ce qu'il convient de constater dans la procédure prévue par l' art. 108 al. 1 let. a LTF . Les conclusions du recours étaient, partant, dénuées d'emblée de chances de succès, ce qui conduit au refus de l'assistance judiciaire ( art. 64 al. 1 et 3 LTF ). Le recourant supporte les frais de la procédure, qui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