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6B_1138/2014 vom 16. Januar 2015</w:t>
      </w:r>
    </w:p>
    <w:p>
      <w:r>
        <w:t>Bundesgericht, 2015-01-16, FR</w:t>
      </w:r>
    </w:p>
    <w:p>
      <w:r>
        <w:rPr>
          <w:b/>
        </w:rPr>
        <w:t xml:space="preserve">Quelle: </w:t>
      </w:r>
      <w:r>
        <w:t>https://mcp.opencaselaw.ch/entscheid/bger_6B_1138_2014</w:t>
      </w:r>
    </w:p>
    <w:p>
      <w:r>
        <w:t>FR: TF 6B_1138/2014 du 16 janvier 2015</w:t>
      </w:r>
    </w:p>
    <w:p>
      <w:r>
        <w:t>IT: TF 6B_1138/2014 del 16 gennaio 2015</w:t>
      </w:r>
    </w:p>
    <w:p>
      <w:pPr>
        <w:pStyle w:val="Heading2"/>
      </w:pPr>
      <w:r>
        <w:t>Erwägungen</w:t>
      </w:r>
    </w:p>
    <w:p>
      <w:r>
        <w:rPr>
          <w:b/>
        </w:rPr>
        <w:t>E. 1</w:t>
      </w:r>
    </w:p>
    <w:p>
      <w:r>
        <w:t>Le recourant prétend n'avoir d'autre choix que de faire valoir ses droits par une procédure de révision. Il se plaint d'une violation des art. 410 ss CPP . Il relève n'avoir jamais été entendu avant que l'ordonnance pénale du 30 juillet 2012 ne soit rendue. Il invoque qu'une autre personne conduisait le véhicule. Il se prévaut en outre d'une violation de son droit d'être entendu et d'arbitraire.</w:t>
      </w:r>
    </w:p>
    <w:p>
      <w:r>
        <w:rPr>
          <w:b/>
        </w:rPr>
        <w:t>E. 1.1</w:t>
      </w:r>
    </w:p>
    <w:p>
      <w:r>
        <w:t>Dans ses griefs à l'appui de la violation de son droit d'être entendu et de l'interdiction de l'arbitraire, le recourant se limite à une libre discussion du déroulement de la procédure sans former de critique recevable au regard des exigences de motivation posées par les art. 42 al. 2, respectivement 106 al. 2 LTF. Pour le surplus, les critiques formulées dans ce cadre se recoupent avec celles qu'il formule par ailleurs pour se plaindre d'une violation de l' art. 410 CPP .</w:t>
      </w:r>
    </w:p>
    <w:p>
      <w:r>
        <w:rPr>
          <w:b/>
        </w:rPr>
        <w:t>E. 1.2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La demande en révision en raison de faits ou de moyens de preuve nouveaux n'est soumise à aucun délai (art. 411 al. 2 in fine CPP). 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arrêt 6B_310/2011 du 20 juin 2011 consid. 1.3).</w:t>
      </w:r>
    </w:p>
    <w:p>
      <w:r>
        <w:rPr>
          <w:b/>
        </w:rPr>
        <w:t>E. 1.4</w:t>
      </w:r>
    </w:p>
    <w:p>
      <w:r>
        <w:t>En l'espèce, le recourant rediscute la question de la notification de l'ordonnance pénale. Or, cet aspect n'est pas l'objet de la procédure de révision. Il a été définitivement tranché par l'arrêt de la Chambre des recours pénale cantonale du 17 janvier 2014. Il en ressort qu'aucun vice dans la notification n'a été retenu, la fiction de notification (cf. art. 85 al. 4 let. a CPP ) étant applicable dans le cas d'espèce, et qu'en conséquence l'opposition formulée était tardive. L'arrêt retient en outre que l'opposition était tardive même en prenant en considération la nouvelle notification intervenue auprès de l'avocat du recourant le 3 décembre 2012 dès lors que l'opposition avait été envoyée le 20 décembre 2012, soit postérieurement au délai de dix jours ( art. 354 al. 1 CPP ). L'argumentation du recourant, qui cherche à revenir sur cet aspect, est irrecevable.</w:t>
      </w:r>
    </w:p>
    <w:p>
      <w:r>
        <w:rPr>
          <w:b/>
        </w:rPr>
        <w:t>E. 1.5</w:t>
      </w:r>
    </w:p>
    <w:p>
      <w:r>
        <w:t>Pour l'essentiel, le recourant invoque des généralités sur la procédure de révision. Il se réfère à de la doctrine (cf. JEANNERET/KUHN, Précis de procédure pénale, 2013, n. 17083 p. 439) qui n'est pas pertinente dès lors qu'elle traite d'une problématique liée à la procédure simplifiée ( art. 358 ss CPP ) et non spécifiquement à l'ordonnance pénale ( art. 352 ss CPP ). Le recourant ne fournit pas d'argument en considération des arrêts précités ( ATF 130 IV 72 et arrêt 6B_310/2011), invoqués par la cour cantonale à l'appui de sa solution, et en vertu desquels un régime particulier prévaut en matière de révision d'une ordonnance pénale. Il n'y a pas lieu de revenir sur cette jurisprudence. Le recourant ne dit pas en quoi sa situation serait spécifique et permettrait une révision. En particulier, il ne se prévaut pas d'un fait ou d'un moyen de preuve nouveau dont il ignorait l'existence lorsqu'il lui était loisible de faire opposition. Au contraire, l'élément qu'il invoque à l'appui de sa demande de révision, à savoir qu'il n'était pas le conducteur du véhicule, ne pouvait lui échapper au moment du prononcé de l'ordonnance pénale. Tout du moins, il ne fournit aucun argument susceptible de faire admettre qu'il ne pouvait pas se prévaloir ou n'avait pas de raisons de se prévaloir de cet élément à cette époque. Comme déjà dit, la question de la validité de la notification de l'ordonnance pénale n'a pas à être revue ici (cf. supra consid. 1.4). C'est donc bien en formant une opposition en temps utile à l'ordonnance pénale que le recourant aurait dû procéder pour se prévaloir du fait qu'une autre personne conduisait le véhicule. Sa demande de révision doit ainsi être qualifiée d'abusive au sens de la jurisprudence précitée. Dans ces conditions, la cour cantonale pouvait d'emblée écarter la demande de révision et la déclarer irrecevable (cf. supra consid. 1.2 in fine).</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