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6B_1136/2023 vom 29. November 2023</w:t>
      </w:r>
    </w:p>
    <w:p>
      <w:r>
        <w:t>Bundesgericht, 2023-11-29, FR</w:t>
      </w:r>
    </w:p>
    <w:p>
      <w:r>
        <w:rPr>
          <w:b/>
        </w:rPr>
        <w:t xml:space="preserve">Quelle: </w:t>
      </w:r>
      <w:r>
        <w:t>https://mcp.opencaselaw.ch/entscheid/bger_6B_1136_2023</w:t>
      </w:r>
    </w:p>
    <w:p>
      <w:r>
        <w:t>FR: TF 6B_1136/2023 du 29 novembre 2023</w:t>
      </w:r>
    </w:p>
    <w:p>
      <w:r>
        <w:t>IT: TF 6B_1136/2023 del 29 novembre 2023</w:t>
      </w:r>
    </w:p>
    <w:p>
      <w:pPr>
        <w:pStyle w:val="Heading2"/>
      </w:pPr>
      <w:r>
        <w:t>Erwägungen</w:t>
      </w:r>
    </w:p>
    <w:p>
      <w:r>
        <w:rPr>
          <w:b/>
        </w:rPr>
        <w:t>E. 1</w:t>
      </w:r>
    </w:p>
    <w:p>
      <w:r>
        <w:t>Dans une première partie de son mémoire de recours, intitulée "Résumé des faits", le recourant présente une version personnelle des événements. Dans la mesure toutefois où il s'écarte des faits retenus par la cour cantonale ou les complète, sans démontrer que ceux-ci seraient manifestement inexacts ou que certains éléments déterminants auraient été arbitrairement omis, son exposé est appellatoire et, partant, irrecevable.</w:t>
      </w:r>
    </w:p>
    <w:p>
      <w:r>
        <w:rPr>
          <w:b/>
        </w:rPr>
        <w:t>E. 2</w:t>
      </w:r>
    </w:p>
    <w:p>
      <w:r>
        <w:t>Le recourant conteste son expulsion. Il invoque une violation de l' art. 66a al. 2 CP et de l' art. 66a al. 1 CP , en lien avec l'établissement manifestement incomplet ou inexact des faits, une violation de l'interdiction de l'arbitraire ( art. 9 Cst. ), du principe de la proportionnalité ( art. 5 Cst. ) et du principe d'égalité de traitement ( art. 8 Cst. ).</w:t>
      </w:r>
    </w:p>
    <w:p>
      <w:r>
        <w:rPr>
          <w:b/>
        </w:rPr>
        <w:t>E. 2.1</w:t>
      </w:r>
    </w:p>
    <w:p>
      <w:r>
        <w:t>Aux termes de l' art. 66a al. 1 let . c CP, le juge expulse de Suisse l'étranger qui est condamné notamment pour escroquerie par métier ( art. 146 al. 2 CP ), quelle que soit la quotité de la peine prononcée à son encontre, pour une durée de 5 à 15 ans.</w:t>
      </w:r>
    </w:p>
    <w:p>
      <w:r>
        <w:t>En l'espèce, le recourant, qui a notamment été reconnu coupable d'escroquerie par métier, remplit donc a priori les conditions d'une expulsion, sous la réserve d'une application de l' art. 66a al. 2 CP , voire également des normes de droit international.</w:t>
      </w:r>
    </w:p>
    <w:p>
      <w:r>
        <w:rPr>
          <w:b/>
        </w:rPr>
        <w:t>E. 2.2</w:t>
      </w:r>
    </w:p>
    <w:p>
      <w:r>
        <w:t>L' 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w:t>
      </w:r>
    </w:p>
    <w:p>
      <w:r>
        <w:t>La clause de rigueur permet de garantir le principe de la proportionnalité (cf. art. 5 al. 2 Cst. ; ATF 149 IV 231 consid. 2.1.1; 146 IV 105 consid. 3.4.2; 144 IV 332 consid. 3.3.1). Elle doit être appliquée de manière restrictive ( ATF 149 IV 231 consid. 2.1.1; 146 IV 105 consid. 3.4.2; 144 IV 332 consid. 3.3). Il convient de s'inspirer des critères énoncés à l'art. 31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146 IV 105 consid. 3.4.2).</w:t>
      </w:r>
    </w:p>
    <w:p>
      <w:r>
        <w:rPr>
          <w:b/>
        </w:rPr>
        <w:t>E. 2.3</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6B_348/2023 du 28 avril 2023 consid. 2.4; 6B_1116/2022 du 21 avril 2023 consid. 3.1.2). Un séjour légal de dix années suppose en principe une bonne intégration de l'étranger ( ATF 144 I 266 consid. 3.9). 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rPr>
          <w:b/>
        </w:rPr>
        <w:t>E. 2.4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6B_122/2023 du 27 avril 2023 consid. 1.1.3).</w:t>
      </w:r>
    </w:p>
    <w:p>
      <w:r>
        <w:t>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6B_1187/2022 du 23 août 2023 consid. 1.4; 6B_435/2023 du 21 juin 2023 consid. 5.2.2; 6B_381/2023 du 8 juin 2023 consid. 4.2; 6B_257/2022 du 16 novembre 2022 consid. 3.3 et les arrêts cités).</w:t>
      </w:r>
    </w:p>
    <w:p>
      <w:r>
        <w:rPr>
          <w:b/>
        </w:rPr>
        <w:t>E. 2.5</w:t>
      </w:r>
    </w:p>
    <w:p>
      <w:r>
        <w:t>Dans la pesée des intérêts, il faut aussi tenir compte de l'intérêt supérieur de l'enfant et son bien-être (art. 3 de la Convention du 20 novembre 1989 relative aux droits de l'enfant [CDE; RS 0.107]; ATF 143 I 21 consid. 5.5.1; arrêt 6B_745/2022 du 22 février 2023 consid. 3.2.2).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6B_1114/2022 du 11 janvier 2023 consid. 5).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6B_1116/2022 du 21 avril 2023 consid. 3.1.3; 6B_31/2023 du 13 avril 2023 consid. 2.2.3; 6B_1461/2022 du 22 mars 2023 consid. 1.1.2).</w:t>
      </w:r>
    </w:p>
    <w:p>
      <w:r>
        <w:rPr>
          <w:b/>
        </w:rPr>
        <w:t>E. 2.6</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La CourEDH précise également que les éléments d'ordre médical doivent être pris en compte dans l'examen de l' art. 8 par. 2 CEDH , à travers le caractère provisoire ou définitif de l'interdiction du territoire (arrêt CourEDH</w:t>
      </w:r>
    </w:p>
    <w:p>
      <w:r>
        <w:t>Hasanbasic c. Suisse du 11 juin 2013 [requête no 52166/09] § 54; cf. aussi: ATF 145 IV 455 consid. 9.1; arrêt 6B_770/2018 du 24 septembre 2018 consid. 2.1).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ATF 145 IV 455 consid. 9.1 et les références citées). En matière d'expulsion pénale, l'autorité de jugement appelée à prononcer une telle mesure doit examiner si, en raison de l'état de santé du prévenu, la mesure se révèle disproportionnée (arrêts 6B_244/2023 du 25 août 2023 consid. 6.4; 6B_86/2023 du 7 août 2023 consid. 5.2.3; 6B_745/2022 du 22 février 2023 consid. 3.2.3).</w:t>
      </w:r>
    </w:p>
    <w:p>
      <w:r>
        <w:rPr>
          <w:b/>
        </w:rPr>
        <w:t>E. 2.7</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2.8</w:t>
      </w:r>
    </w:p>
    <w:p>
      <w:r>
        <w:t>La cour cantonale a considéré qu'il était difficilement contestable que l'expulsion mettrait le recourant dans une situation personnelle grave, dès lors que ses deux enfants mineurs étaient établis en Suisse et qu'il n'avait plus aucune attache avec le Nigéria, son pays d'origine, où il n'avait que très peu vécu. Elle a cependant considéré que l'intérêt privé du recourant devait céder le pas face à l'intérêt public important à son expulsion. Condamné à neuf reprises depuis 2014, pour de nombreux délits, et ayant agi d'une manière frénétique, commettant un nombre important d'infractions relevant de biens juridiques aussi précieux que divers, il avait réitéré alors même qu'il était en train de purger une peine de semi-détention. En outre, le fait qu'il avait des enfants mineurs en Suisse n'était pas déterminant, d'autant moins qu'il avait commis des délits graves à leur encontre, délits qu'il n'avait jamais reconnus ni devant les autorités ni devant ses enfants.</w:t>
      </w:r>
    </w:p>
    <w:p>
      <w:r>
        <w:t>Elle a considéré, avec les premiers juges, que le recourant était un véritable danger public, qui jouissait d'un immense pouvoir de nuisance et qui présentait un risque de récidive qualifié d'élevé par les experts.</w:t>
      </w:r>
    </w:p>
    <w:p>
      <w:r>
        <w:rPr>
          <w:b/>
        </w:rPr>
        <w:t>E. 2.9</w:t>
      </w:r>
    </w:p>
    <w:p>
      <w:r>
        <w:t>En l'espèce, sous l'angle du droit au respect de la vie privée, il ressort du jugement attaqué que le recourant est arrivé en Suisse à l'âge de quatorze ans. S'il y a lieu d'admettre qu'un renvoi vers le Nigéria, pays que l'intéressé a quitté à l'âge d'un an, ne sera guère facile, il n'apparaît pas que le recourant dispose de liens sociaux et professionnels spécialement intenses avec la Suisse. En effet, s'il y a obtenu un CFC de plâtrier-peintre et s'est installé comme peintre indépendant en 2008, il apparaît que, dès 2016, il a exploité plusieurs sociétés, qui ont cependant été déclarées en faillite. Il ressort également du jugement attaqué que l'intéressé a des dettes.</w:t>
      </w:r>
    </w:p>
    <w:p>
      <w:r>
        <w:t>En ce qui concerne l'atteinte à sa vie familiale, le recourant est père de deux enfants, dont il avait certes la garde, et qui lui rendent régulièrement visite en prison, mais il dit lui-même qu'à sa sortie de prison, il ne sollicitera pas leur garde, mais uniquement un droit de visite. Les experts préconisent d'ailleurs des visites sous surveillance d'une tierce personne.</w:t>
      </w:r>
    </w:p>
    <w:p>
      <w:r>
        <w:t>Dans ces conditions, il apparaît douteux que le recourant puisse se prévaloir d'un droit au respect de sa vie privée ou familiale au sens de l' art. 8 par. 1 CEDH . Cette question peut cependant demeurer ouverte dès lors que la cour cantonale a jugé à bon droit que l'intérêt public à l'éloignement du recourant l'emportait sur son intérêt privé à demeurer en Suisse (cf.</w:t>
      </w:r>
    </w:p>
    <w:p>
      <w:r>
        <w:t>infra consid. 2.10).</w:t>
      </w:r>
    </w:p>
    <w:p>
      <w:r>
        <w:rPr>
          <w:b/>
        </w:rPr>
        <w:t>E. 2.10.1</w:t>
      </w:r>
    </w:p>
    <w:p>
      <w:r>
        <w:t>En rapport avec l'intérêt privé du recourant à demeurer en Suisse, il sied de tenir compte, tout d'abord, de la longue durée du séjour de l'intéressé dans ce pays, du fait qu'il y est arrivé à l'âge de quatorze ans et du fait que les membres de sa famille y vivent. Le recourant invoque la présence de ses enfants mineurs en Suisse et du lien "fort et positif" qu'il a avec eux. Si l'on peut admettre que l'expulsion est certes susceptible de porter atteinte aux relations entre celui-ci et ses enfants, il convient de relever qu'elle n'empêchera pas le recourant d'entretenir des contacts avec ses enfants par le biais des moyens de télécommunications modernes, voire par le biais de visites occasionnelles de ceux-ci au Nigéria.</w:t>
      </w:r>
    </w:p>
    <w:p>
      <w:r>
        <w:t>Le recourant reproche à la cour cantonale d'avoir omis certains éléments qui seraient de nature à "rendre l'expulsion particulièrement attentatoire [à ses] intérêts". Or, contrairement à ce qu'il soutient, la cour cantonale a tenu compte du fait qu'il n'avait quasiment pas vécu au Nigéria, que sa connaissance de la culture et de la langue était limitée et que ses attaches se trouvaient principalement en Suisse. En tant qu'il soutient que son intégration en Suisse est bonne, son appréciation se heurte cependant à certains faits retenus par le jugement attaqué, qui lient le Tribunal fédéral ( art. 105 al. 1 LTF ).</w:t>
      </w:r>
    </w:p>
    <w:p>
      <w:r>
        <w:t>Le recourant soutient qu'une expulsion empêcherait le suivi médical mis en place avec la mesure institutionnelle. Il fait valoir qu'en cas d'expulsion, il est à craindre qu'il perde tout bénéfice apporté par le traitement institutionnel. Le recourant perd cependant de vue que son expulsion n'interviendra qu'après l'exécution de la mesure, soit, en cas de succès de la mesure, dès que son état justifie de lui donner l'occasion de faire ses preuves en liberté (cf. art. 62 al. 1 CP ). Pour le surplus, rien n'indique que, si nécessaire, ses problèmes de santé ne pourront pas également être suivis dans son pays d'origine.</w:t>
      </w:r>
    </w:p>
    <w:p>
      <w:r>
        <w:rPr>
          <w:b/>
        </w:rPr>
        <w:t>E. 2.10.2</w:t>
      </w:r>
    </w:p>
    <w:p>
      <w:r>
        <w:t>Les intérêts publics présidant à l'expulsion du recourant sont très importants. Il a en effet commis de très nombreuses infractions contre plusieurs biens juridiques distincts, dont l'intégrité physique. De tels comportements, couplés en l'espèce aux multiples antécédents du recourant (9 condamnations dont une en 2015 à une peine privative de liberté de 24 mois et une autre en 2022 à une peine privative de liberté de 20 mois), ainsi qu'à une prise de conscience mitigée des actes commis démontrent un mépris total pour l'ordre juridique suisse et le sentiment de sécurité d'autrui. L'expertise a par ailleurs retenu un risque de récidive élevé pour des infractions graves. En tant que le recourant soutient que le pronostic s'agissant de son comportement futur est bon, il oppose sa propre appréciation à celle de la cour cantonale et des experts.</w:t>
      </w:r>
    </w:p>
    <w:p>
      <w:r>
        <w:t>On relèvera enfin que la peine privative de liberté de trois ans et demi à laquelle le recourant a été condamné dépasse largement une année, ce qui pourrait permettre une révocation de son autorisation de séjour sur la base de l' art. 62 al. 1 let. b LEI (cf. ATF 139 I 145 consid. 2.1; arrêts 6B_470/2023 du 20 septembre 2023 consid. 6.6.1; 6B_524/2023 du 18 août 2023 consid. 4.6.1; 6B_435/2023 du 21 juin 2023 consid. 5.5).</w:t>
      </w:r>
    </w:p>
    <w:p>
      <w:r>
        <w:rPr>
          <w:b/>
        </w:rPr>
        <w:t>E. 2.11</w:t>
      </w:r>
    </w:p>
    <w:p>
      <w:r>
        <w:t>En définitive, compte tenu du grand nombre d'infractions commises contre plusieurs biens juridiques protégés précieux, des multiples antécédents du recourant, de son intégration mitigée en Suisse et du risque élevé de récidive qu'il présente, l'intérêt public à son expulsion l'emporte sur son intérêt privé à demeurer en Suisse.</w:t>
      </w:r>
    </w:p>
    <w:p>
      <w:r>
        <w:rPr>
          <w:b/>
        </w:rPr>
        <w:t>E. 2.12</w:t>
      </w:r>
    </w:p>
    <w:p>
      <w:r>
        <w:t>La seconde condition pour l'application de l' art. 66a al. 2 CP n'étant pas réalisée, le prononcé d'expulsion du recourant ne viole pas le droit fédéral.</w:t>
      </w:r>
    </w:p>
    <w:p>
      <w:r>
        <w:rPr>
          <w:b/>
        </w:rPr>
        <w:t>E. 3</w:t>
      </w:r>
    </w:p>
    <w:p>
      <w:r>
        <w:t>Subsidiairement, le recourant conteste la durée de l'expulsion, ordonnée pour douze ans, et requiert que celle-ci soit d'une durée maximum de cinq ans. Il invoque l'égalité de traitement et le principe de la proportionnalité. Il reproche également à la cour cantonale de n'avoir procédé "à aucun examen de la situation".</w:t>
      </w:r>
    </w:p>
    <w:p>
      <w:r>
        <w:rPr>
          <w:b/>
        </w:rPr>
        <w:t>E. 3.1</w:t>
      </w:r>
    </w:p>
    <w:p>
      <w:r>
        <w:t>Selon la jurisprudence, le juge doit fixer la durée de l'expulsion dans la fourchette prévue de cinq à quinze ans, en tenant compte du principe de la proportionnalité (arrêts 6B_755/2023 du 19 octobre 2023 consid. 4.6.1; 6B_348/2023 précité consid. 2.9.1; 6B_432/2021 du 21 février 2022 consid. 5.1.3).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(arrêts 6B_755/2023 précité consid. 4.6.1; 6B_348/2023 précité consid. 2.91; 6B_432/2021 précité consid. 5.1.3; 6B_93/2021 du 6 octobre 2021 consid. 5.1). La durée de l'expulsion n'a pas à être symétrique à la durée de la peine prononcée (arrêts 6B_755/2023 précité consid. 4.6.1; 6B_348/2023 précité consid. 2.91; 6B_432/2021 précité consid. 5.1.3; 6B_93/2021 précité consid. 5.1).</w:t>
      </w:r>
    </w:p>
    <w:p>
      <w:r>
        <w:rPr>
          <w:b/>
        </w:rPr>
        <w:t>E. 3.2</w:t>
      </w:r>
    </w:p>
    <w:p>
      <w:r>
        <w:t>Le recourant invoque le principe de l'égalité de traitement en soutenant que la cour cantonale aurait dû tenir compte du fait que l'expulsion est prévue uniquement pour l'infraction d'escroquerie par métier. Il soutient qu'une personne qui aurait été condamnée seulement pour escroquerie simple n'aurait pas été expulsée.</w:t>
      </w:r>
    </w:p>
    <w:p>
      <w:r>
        <w:t>Cette argumentation ne saurait être suivie, dès lors que le recourant a été condamné pour escroquerie par métier et non escroquerie simple, ce qu'il ne conteste d'ailleurs pas dans son recours. On relèvera au demeurant que si un auteur commet une infraction qui n'est pas visée par l' art. 66a CP , le juge peut également l'expulser du territoire suisse pour une durée de trois à quinze ans ( art. 66a bis CP ; expulsion non obligatoire).</w:t>
      </w:r>
    </w:p>
    <w:p>
      <w:r>
        <w:t>En définitive, il ressort du jugement attaqué que la cour cantonale, qui dispose d'un large pouvoir d'appréciation à l'égard de la durée de l'expulsion (cf. arrêt 6B_339/2023 du 13 septembre 2023 consid. 6.4; LUCIA VETTERLI,</w:t>
      </w:r>
    </w:p>
    <w:p>
      <w:r>
        <w:t>in StGB, Annotierter Kommentar, DAMIAN K. GRAF [éd.], 2020, n° 15</w:t>
      </w:r>
    </w:p>
    <w:p>
      <w:r>
        <w:t>ad</w:t>
      </w:r>
    </w:p>
    <w:p>
      <w:r>
        <w:t>art. 66a CP ), a notamment tenu compte du risque élevé de récidive portant sur des infractions graves, considérant que le recourant était un "véritable danger public". Bien que brève, la motivation de la cour cantonale est suffisante. Le recourant ne mentionne du reste pas d'éléments que la cour cantonale aurait omis et qui seraient propres à modifier la durée de l'expulsion. Le grief soulevé est donc infondé.</w:t>
      </w:r>
    </w:p>
    <w:p>
      <w:r>
        <w:rPr>
          <w:b/>
        </w:rPr>
        <w:t>E. 4</w:t>
      </w:r>
    </w:p>
    <w:p>
      <w:r>
        <w:t>Le recourant conclut à ce qu'il soit renoncé à son inscription dans le Système d'informations Schengen (SIS).</w:t>
      </w:r>
    </w:p>
    <w:p>
      <w:r>
        <w:t>En tant que sa conclusion suppose qu'il soit renoncé à son expulsion - ce qui n'est pas le cas - celle-ci est sans portée. Pour le surplus, le recourant ne développe aucune argumentation concernant son inscription dans le SIS ( art. 42 al. 2 LTF ).</w:t>
      </w:r>
    </w:p>
    <w:p>
      <w:r>
        <w:rPr>
          <w:b/>
        </w:rPr>
        <w:t>E. 5</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