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6B_1135/2017 vom 28. November 2017</w:t>
      </w:r>
    </w:p>
    <w:p>
      <w:r>
        <w:t>Bundesgericht, 2017-11-28, FR</w:t>
      </w:r>
    </w:p>
    <w:p>
      <w:r>
        <w:rPr>
          <w:b/>
        </w:rPr>
        <w:t xml:space="preserve">Quelle: </w:t>
      </w:r>
      <w:r>
        <w:t>https://mcp.opencaselaw.ch/entscheid/bger_6B_1135_2017</w:t>
      </w:r>
    </w:p>
    <w:p>
      <w:r>
        <w:t>FR: TF 6B_1135/2017 du 28 novembre 2017</w:t>
      </w:r>
    </w:p>
    <w:p>
      <w:r>
        <w:t>IT: TF 6B_1135/2017 del 28 novembre 2017</w:t>
      </w:r>
    </w:p>
    <w:p>
      <w:pPr>
        <w:pStyle w:val="Heading2"/>
      </w:pPr>
      <w:r>
        <w:t>Erwägungen</w:t>
      </w:r>
    </w:p>
    <w:p>
      <w:r>
        <w:rPr>
          <w:b/>
        </w:rPr>
        <w:t>E. 1.1</w:t>
      </w:r>
    </w:p>
    <w:p>
      <w:r>
        <w:t>Par ordonnance pénale n° 2901325 du 18 mai 2017, la Commission de police de la Commune de Lausanne a condamné X.________ à 1'000 fr. d'amende pour contravention aux art. 22c OSR , 27 al. 1 LCR, 46, 59 al. 1, 61 al. 1 et 63 al. 2 du Règlement intercommunal sur le service des taxis et a mis les frais de procédure, par 50 fr., à sa charge.</w:t>
      </w:r>
    </w:p>
    <w:p>
      <w:r>
        <w:rPr>
          <w:b/>
        </w:rPr>
        <w:t>E. 1.2</w:t>
      </w:r>
    </w:p>
    <w:p>
      <w:r>
        <w:t>Le 3 juillet 2017, la Commission de police a assimilé l'ordonnance pénale à un jugement entré en force. En bref, elle a considéré que l'opposition à celle-ci pouvait être réputée retirée, dès lors que le mandat de comparution à l'audience du 28 juin 2017 ne lui avait pas été retourné par La Poste et que X.________ ne s'était pas présenté à l'audience, ni excusé.</w:t>
      </w:r>
    </w:p>
    <w:p>
      <w:r>
        <w:rPr>
          <w:b/>
        </w:rPr>
        <w:t>E. 1.3</w:t>
      </w:r>
    </w:p>
    <w:p>
      <w:r>
        <w:t>Par arrêt du 23 août 2017, le Juge unique de la Chambre des recours pénale du Tribunal cantonal vaudois a rejeté, dans la mesure où il était recevable, le recours de X.________ et confirmé le prononcé du 3 juillet 2017. Le magistrat a notamment retenu que X.________ n'avait pas exposé les motifs pour lesquels le prononcé de la Commission de police serait infondé. Il s'était contenté d'excuser - tardivement - son absence à l'audience du 28 juin 2017, à laquelle il avait pourtant été dûment cité à comparaître. Il avait de surcroît confirmé avoir bien reçu le mandat de comparution du 15 juin 2017 et n'avait pas prétendu avoir été empêché sans sa faute d'assister à l'audience (cf. arrêt attaqué consid. 2.2 p. 6).</w:t>
      </w:r>
    </w:p>
    <w:p>
      <w:r>
        <w:rPr>
          <w:b/>
        </w:rPr>
        <w:t>E. 1.4</w:t>
      </w:r>
    </w:p>
    <w:p>
      <w:r>
        <w:t>X.________ recourt en matière pénale au Tribunal fédéral contre l'arrêt cantonal.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140 I 201 consid. 6.1 p. 205).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t>En l'occurrence, le recourant explique, pour l'essentiel, que la Commission de police l'a cité à comparaître à une audience prévue pour le 28 juin 2017 à laquelle il n'avait eu ni la force de se présenter, ni celle d'en avertir l'autorité concernée, en raison notamment de sa situation professionnelle particulièrement difficile. Il réitère ses excuses et ses profonds regrets pour n'avoir pas saisi la chance de s'y expliquer de vive voix. Ce faisant, il ne se détermine pas d'une manière recevable sur les considérations cantonales susmentionnées (cf. consid. 1.3 supra), dont il ne démontre pas en quoi elles violeraient le droit. Faute ainsi de présenter un grief recevable au sens des art. 42 al. 1 - 2 et 106 al. 2 LTF, le présent recours peut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