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6B_1133/2018 vom 5. Dezember 2018</w:t>
      </w:r>
    </w:p>
    <w:p>
      <w:r>
        <w:t>Bundesgericht, 2018-12-05, FR</w:t>
      </w:r>
    </w:p>
    <w:p>
      <w:r>
        <w:rPr>
          <w:b/>
        </w:rPr>
        <w:t xml:space="preserve">Quelle: </w:t>
      </w:r>
      <w:r>
        <w:t>https://mcp.opencaselaw.ch/entscheid/bger_6B_1133_2018</w:t>
      </w:r>
    </w:p>
    <w:p>
      <w:r>
        <w:t>FR: TF 6B_1133/2018 du 5 décembre 2018</w:t>
      </w:r>
    </w:p>
    <w:p>
      <w:r>
        <w:t>IT: TF 6B_1133/2018 del 5 dicembre 2018</w:t>
      </w:r>
    </w:p>
    <w:p>
      <w:pPr>
        <w:pStyle w:val="Heading2"/>
      </w:pPr>
      <w:r>
        <w:t>Erwägungen</w:t>
      </w:r>
    </w:p>
    <w:p>
      <w:r>
        <w:rPr>
          <w:b/>
        </w:rPr>
        <w:t>E. 1</w:t>
      </w:r>
    </w:p>
    <w:p>
      <w:r>
        <w:t>Selon l' art. 42 al. 1 LTF , les mémoires de recours au Tribunal fédéral doivent indiquer les conclusions, les motifs et les moyens de preuves, et être signés. En particulier, le recourant doit, sous peine d'irrecevabilité, motiver son recours en exposant succinctement en quoi la décision attaquée viole le droit (cf.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cf. récemment arrêt 6B_1230/2018 du 3 décembre 2018 consid. 2).</w:t>
      </w:r>
    </w:p>
    <w:p>
      <w:r>
        <w:t>En l'espèce, le recourant développe une argumentation difficilement intelligible et pour partie inconvenante, qui ne comporte quoi qu'il en soit aucun grief spécifique tendant à démontrer en quoi l'arrêt attaqué serait contraire au droit. Il s'ensuit que l'argumentation du recourant ne répond nullement aux exigences de motivation déduites des art. 42 al. 2 LTF . Qui plus est, le recourant ne formule aucune conclusion au fond. Le recours est donc irrecevable.</w:t>
      </w:r>
    </w:p>
    <w:p>
      <w:r>
        <w:rPr>
          <w:b/>
        </w:rPr>
        <w:t>E. 2</w:t>
      </w:r>
    </w:p>
    <w:p>
      <w:r>
        <w:t>Le motif d'irrecevabilité est manifeste. Le recours doit être écarté en application de l' art. 108 al. 1 let. b LTF . Le recourant succombe. Il supporte les frais de la procédure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