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6B_1130/2017 vom 20. Februar 2018</w:t>
      </w:r>
    </w:p>
    <w:p>
      <w:r>
        <w:t>Bundesgericht, 2018-02-20, FR</w:t>
      </w:r>
    </w:p>
    <w:p>
      <w:r>
        <w:rPr>
          <w:b/>
        </w:rPr>
        <w:t xml:space="preserve">Quelle: </w:t>
      </w:r>
      <w:r>
        <w:t>https://mcp.opencaselaw.ch/entscheid/bger_6B_1130_2017</w:t>
      </w:r>
    </w:p>
    <w:p>
      <w:r>
        <w:t>FR: TF 6B_1130/2017 du 20 février 2018</w:t>
      </w:r>
    </w:p>
    <w:p>
      <w:r>
        <w:t>IT: TF 6B_1130/2017 del 20 febbraio 2018</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Ce grief se confond, par ailleurs, avec celui de violation de la présomption d'innocence en tant que ce dernier porte sur l'appréciation des preuves ( ATF 127 I 38 consid. 2a p. 41; 120 Ia 31 consid. 2c p. 37). Le Tribunal fédéral n'entre pas en matière sur les critiques de nature appellatoire ( ATF 141 IV 249 consid. 1.3.1 p. 253).</w:t>
      </w:r>
    </w:p>
    <w:p>
      <w:r>
        <w:rPr>
          <w:b/>
        </w:rPr>
        <w:t>E. 1.1</w:t>
      </w:r>
    </w:p>
    <w:p>
      <w:r>
        <w:t>Invoquant des inexactitudes manifestes, respectivement l'interdiction de l'arbitraire, le recourant relève tout d'abord qu'interrogée le 7 décembre 2011, l'intimée avait indiqué ne pas avoir su qu'il ne pouvait pas entrer dans la maison et qu'elle le laissait faire. Quant aux faits du 18 décembre 2010, dans un memorandum figurant au dossier, elle avait précisé: " Il ne veut pas entrer, il veut seulement ses affaires. J'appelle le 117 et fai[s] tout ce que je peux pour le faire attendre, la police arrive ". Le recourant en déduit qu'il serait arbitraire de retenir qu'il a pénétré dans le domicile contre l'avis de la plaignante. Toujours en lien avec les événements du 18 décembre 2010, il objecte qu'il serait insoutenable de retenir qu'il avait fouillé dans la boîte aux lettres, alors qu'il n'aurait que levé le clapet de celle-ci pour regarder s'il s'y trouvait du courrier. Selon ses propres déclarations, il lui semblait avoir téléphoné à son épouse avant de se rendre au domicile familial puis, une fois sur place, avoir regardé dans la boîte aux lettres si le courrier s'entassait en ouvrant le clapet et être reparti après avoir sonné en vain à la porte.</w:t>
      </w:r>
    </w:p>
    <w:p>
      <w:r>
        <w:rPr>
          <w:b/>
        </w:rPr>
        <w:t>E. 1.2</w:t>
      </w:r>
    </w:p>
    <w:p>
      <w:r>
        <w:t>Sur ce dernier point, il ressort sans ambiguïté des pièces du dossier auxquelles se réfère le recourant que ses propres déclarations portent exclusivement sur les faits survenus le matin du 18 décembre 2010 cependant que l'intimée a aussi exposé qu'il était revenu l'après-midi vers 15h30, alors qu'elle lui avait précédemment dans l'après-midi, exprimé son refus de le voir. La cour cantonale pouvait en conclure, sans arbitraire, que le recourant n'avait pas contesté spécifiquement cette partie du récit de la plaignante.</w:t>
      </w:r>
    </w:p>
    <w:p>
      <w:r>
        <w:t>En tant que le recourant invoque que l'intimée n'aurait pas su qu'il ne pouvait pas entrer dans le domicile, il suffit de constater que cette déclaration concerne spécifiquement une visite du recourant au domicile familial du 13 décembre 2010, date à laquelle l'intimée a admis avoir donné son consentement à la venue du recourant (dossier cantonal, pièce 3003, lignes 97 à 104). Le recourant ne peut, dès lors, rien déduire en sa faveur de cette déclaration en ce qui concerne la visite du 18 décembre 2010 ou les visites postérieures.</w:t>
      </w:r>
    </w:p>
    <w:p>
      <w:r>
        <w:t>Pour le surplus, en tant que le recourant invoque que, selon le memorandum établi par l'intimée, celle-ci avait constaté qu'il ne " voulait pas entrer " le 18 décembre 2010 et dans la mesure où le recourant conteste avoir " fouillé " la boîte aux lettres, ces points souffrent de demeurer indécis pour les raisons qui suivent.</w:t>
      </w:r>
    </w:p>
    <w:p>
      <w:r>
        <w:rPr>
          <w:b/>
        </w:rPr>
        <w:t>E. 2</w:t>
      </w:r>
    </w:p>
    <w:p>
      <w:r>
        <w:t>Le Tribunal fédéral applique d'office le droit fédéral ( art. 106 al. 1 LTF ).</w:t>
      </w:r>
    </w:p>
    <w:p>
      <w:r>
        <w:rPr>
          <w:b/>
        </w:rPr>
        <w:t>E. 2.1</w:t>
      </w:r>
    </w:p>
    <w:p>
      <w:r>
        <w:t>Commet une violation de domicile au sens de l' 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Les espaces, cours ou jardins clos et attenants à une maison sont des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(DELNON/RÜDY, in Basler Kommentar Strafrecht II, 3e éd., 2013, n° 16 ad art. 186 CP ). L'infraction est consommée dès que l'auteur s'introduit dans le domaine clos sans l'autorisation de celui qui a le pouvoir d'en disposer ( ATF 128 IV 81 consid. 4a p. 85; 108 IV 33 consid. 5b p. 39). L'auteur doit encore agir de manière illicite. L'illicéité de l'acte implique que l'auteur s'oppose à la volonté de l'ayant droit. Elle fait défaut lorsque ce dernier donne son accord ou si l'auteur est au bénéfice d'un motif justificatif ( ATF 83 IV 154 consid. 1 p. 157).</w:t>
      </w:r>
    </w:p>
    <w:p>
      <w:r>
        <w:rPr>
          <w:b/>
        </w:rPr>
        <w:t>E. 2.2</w:t>
      </w:r>
    </w:p>
    <w:p>
      <w:r>
        <w:t>En l'espèce, les constatations de fait de la décision entreprise ne permettent pas de comprendre dans quel espace clos le recourant serait entré le 18 décembre 2010. Il n'est, tout d'abord, pas contesté que, le matin, le recourant s'est limité à sonner à la porte, puis à regarder si la boîte aux lettres contenait du courrier. La décision entreprise ne constate pas non plus que, de retour l'après-midi, le recourant serait physiquement entré dans la maison familiale ou des locaux. On peut se limiter à souligner que selon les déclarations de l'intimée figurant au dossier, le recourant ne voulait précisément pas entrer à ce moment-là (dossier cantonal, pièce 2104, ad 18.12.10). Par ailleurs, l'arrêt entrepris ne constate pas que la boîte aux lettres ou la sonnette de la maison ne seraient accessibles qu'après avoir pénétré dans une cour ou un jardin</w:t>
      </w:r>
    </w:p>
    <w:p>
      <w:r>
        <w:t>clos . Il ressort, au contraire des photos figurant au dossier (dossier cantonal, pièces 2110, 10048 et 10075, notamment), que la cour de la maison n'est pas fermée mais uniquement délimitée au sol, par son revêtement, du chemin qui y conduit, la boîte aux lettres se trouvant en bordure de cette cour, à l'extérieur du grillage délimitant le jardin. Il y a lieu de compléter d'office les constatations de fait de la décision entreprise sur ce point ( art. 105 al. 2 LTF ). Une boîte aux lettres extérieure ne constituant, par elle-même, ni une maison, ni une habitation, ni un local ou encore un espace au sens de l' art. 186 CP , dont l'énumération est exhaustive, aucun des comportements reprochés au recourant le 18 décembre 2010 ne répond aux conditions de l' art. 186 CP , ce qui aurait dû conduire à l'acquittement sur ce point, sans qu'il soit nécessaire d'examiner plus avant si le recourant a simplement ouvert la boîte aux lettres ou à procédé à une " fouille ".</w:t>
      </w:r>
    </w:p>
    <w:p>
      <w:r>
        <w:rPr>
          <w:b/>
        </w:rPr>
        <w:t>E. 3</w:t>
      </w:r>
    </w:p>
    <w:p>
      <w:r>
        <w:t>En ce qui concerne les 15 et 19 février 2011, le recourant soutient qu'il n'aurait su n'avoir pas le droit d'entrer dans le jardin qu'en même temps qu'il avait eu connaissance de la plainte du 19 février 2011. Il s'écarte, sur ce point, de manière inadmissible de l'état de fait de la décision entreprise, qui ne constate rien de tel. On renvoie, par ailleurs, à ce qui a été exposé ci-dessus, en ce qui concerne les autres faits dont se prévaut le recourant. Pour le surplus, la décision entreprise constate que le recourant est entré dans le jardin, qui est clos, qu'il y est entré sans l'aval de son épouse, qu'il devait obtenir préalablement, ce qu'il savait ensuite de la décision du 30 novembre 2010. Enfin, la cour cantonale a écarté toutes les justifications avancées par le recourant, de sorte que son comportement était illicite. Il s'ensuit que la cour cantonale n'a pas violé le droit fédéral en appliquant l' art. 186 CP dans ces deux cas.</w:t>
      </w:r>
    </w:p>
    <w:p>
      <w:r>
        <w:rPr>
          <w:b/>
        </w:rPr>
        <w:t>E. 4</w:t>
      </w:r>
    </w:p>
    <w:p>
      <w:r>
        <w:t>Il résulte de ce qui précède que le recours doit être admis partiellement en ce sens que le recourant doit être acquitté du chef d'accusation de violation de domicile en relation avec les faits du 18 décembre 2010. Le recours doit être rejeté pour le surplus, dans la mesure où il est recevable. Il y a lieu de renvoyer la cause à la cour cantonale afin qu'elle réexamine, au vu de cette issue, les questions relatives aux indemnités prétendues par les parties, respectivement celles des frais. Le recourant obtient partiellement gain de cause. Il supporte des frais réduits (art. 65 al. 2 et 66 al. 1 LTF). Il peut, de même, prétendre des dépens réduits ( art. 68 al. 1 LTF ), qu'il convient de mettre à la charge du canton de Fribourg. La demande d'assistance judiciaire est sans objet dans cette mesure ( art. 64 al. 2 LTF ). Elle doit être rejetée pour le surplus faute de chances de succès ( art. 64 al. 1 LTF ). Il n'y a pas lieu de mettre une part des frais ou des dépens à la charge de l'intimée, qui a renoncé à procéder. Le canton de Fribourg ne supporte pas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