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6B_1129/2014 vom 9. September 2015</w:t>
      </w:r>
    </w:p>
    <w:p>
      <w:r>
        <w:t>Bundesgericht, 2015-09-09, FR</w:t>
      </w:r>
    </w:p>
    <w:p>
      <w:r>
        <w:rPr>
          <w:b/>
        </w:rPr>
        <w:t xml:space="preserve">Quelle: </w:t>
      </w:r>
      <w:r>
        <w:t>https://mcp.opencaselaw.ch/entscheid/bger_6B_1129_2014</w:t>
      </w:r>
    </w:p>
    <w:p>
      <w:r>
        <w:t>FR: TF 6B_1129/2014 du 9 septembre 2015</w:t>
      </w:r>
    </w:p>
    <w:p>
      <w:r>
        <w:t>IT: TF 6B_1129/2014 del 9 settembre 2015</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Pour invoquer utilement la règle d'appréciation des preuves inhérente à la présomption d'innocence, celle-ci consacrée par l' art. 32 al. 1 Cst. , le plaideur reconnu coupable d'une infraction doit également démontrer précisément en quoi des doutes sérieux et irréductibles s'imposaient au sujet de sa culpabilité ( ATF 127 I 38 consid. 2 p. 40; voir aussi ATF 138 V 74 consid. 7 p. 82; 124 IV 86 consid. 2a p. 87/88).</w:t>
      </w:r>
    </w:p>
    <w:p>
      <w:r>
        <w:rPr>
          <w:b/>
        </w:rPr>
        <w:t>E. 3</w:t>
      </w:r>
    </w:p>
    <w:p>
      <w:r>
        <w:t>D'après les conclusions présentées, le recourant conteste aussi avoir asséné à A.________, dans la nuit du 9 au 10 juin 2012, deux coups de poing et un coup de pied, et l'avoir menacée avec des ciseaux. Il conteste aussi avoir commis une infraction en l'importunant par des appels téléphoniques. Au regard de l' art. 42 al. 1 LTF , parce que dépourvu de toute motivation, le recours en matière pénale se révèle d'emblée irrecevable sur ces chefs de culpabilité.</w:t>
      </w:r>
    </w:p>
    <w:p>
      <w:r>
        <w:rPr>
          <w:b/>
        </w:rPr>
        <w:t>E. 4.1</w:t>
      </w:r>
    </w:p>
    <w:p>
      <w:r>
        <w:t>Dans sa déclaration d'appel, le recourant a présenté des réquisitions de preuve qui ont été rejetées. Elles portaient sur une inspection de l'appartement de A.________, sur une expertise toxicologique destinée à établir la quantité d'alcool que le recourant avait absorbée dans la nuit du 9 au 10 juin 2012 avant de se rendre à cet appartement, sur une nouvelle audition d'un médecin déjà entendu par le Tribunal correctionnel, sur l'audition de deux autres médecins qui devaient eux aussi renseigner les juges sur les séquelles de l'accident de 2007, et sur l'audition de trois témoins de moralité, dont deux devaient renseigner les juges sur l'évolution du prévenu depuis le jugement de première instance.</w:t>
      </w:r>
    </w:p>
    <w:p>
      <w:r>
        <w:t>Devant le Tribunal fédéral, le recourant tient le rejet de ces réquisitions de preuve pour contraire à l' art. 29 al. 2 Cst.</w:t>
      </w:r>
    </w:p>
    <w:p>
      <w:r>
        <w:t>La garantie conférée par cette disposition constitutionnelle inclut le droit à l'administration des preuves valablement offertes en procédure,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p. 236/237; 131 I 153 consid. 3 p. 157; 130 II 425 consid. 2.1 p. 428).</w:t>
      </w:r>
    </w:p>
    <w:p>
      <w:r>
        <w:t>Le recourant se réfère également à l' art. 389 al. 3 CPP selon lequel l'autorité d'appel, d'office ou sur requête, administre les preuves complémentaires nécessaires au jugement de la cause. D'après son libellé déjà, cette disposition ne vise que les preuves nécessaires; de surcroît, l' art. 139 al. 2 CPP exclut en général les mesures probatoires portant sur des faits non pertinents, notoires, connus de l'autorité pénale ou déjà suffisamment prouvés. La loi ne confère donc pas de droit plus étendu, par comparaison avec la garantie de l' art. 29 al. 2 Cst. , d'obtenir des mesures probatoires dans le procès pénal (arrêt 1B_653/2011 du 19 mars 2012, consid. 5.2).</w:t>
      </w:r>
    </w:p>
    <w:p>
      <w:r>
        <w:rPr>
          <w:b/>
        </w:rPr>
        <w:t>E. 4.2</w:t>
      </w:r>
    </w:p>
    <w:p>
      <w:r>
        <w:t>A teneur des art. 19 al. 2 et 20 CP , le juge atténue la peine si, au moment d'agir, l'auteur ne possédait que partiellement la faculté d'apprécier le caractère illicite de son acte ou de se déterminer d'après cette appréciation (art. 19 al. 2); il ordonne une expertise s'il existe une raison sérieuse de douter de la responsabilité de l'auteur (art. 20).</w:t>
      </w:r>
    </w:p>
    <w:p>
      <w:r>
        <w:t>Le recourant reproche aux juges d'appel d'avoir méconnu ces dispositions. Il soutient que sa responsabilité était diminuée en raison de séquelles neurologiques de l'accident de la circulation subi en 2007. A son avis, les juges auraient notamment dû entendre les deux médecins dont il offrait le témoignage et prendre connaissance d'un rapport établi par eux; ils auraient dû constater et prendre en considération une diminution de sa responsabilité, ou, sinon, ordonner l'expertise prévue par l' art. 20 CP .</w:t>
      </w:r>
    </w:p>
    <w:p>
      <w:r>
        <w:t>Le Tribunal correctionnel a interrogé la doctoresse C.________, médecin psychiatre. Depuis mi-août 2012, celle-ci suivait régulièrement le recourant en traitement psychothérapeutique, à raison d'une séance par semaine. Son patient lui a parlé de l'accident de la circulation. Elle n'a pas eu l'impression qu'il en subsiste des séquelles neuropsychologiques, et la capacité de discernement lui paraissait pleine et entière.</w:t>
      </w:r>
    </w:p>
    <w:p>
      <w:r>
        <w:t>De même que la capacité de discernement est présumée en droit civil s'il n'existe aucun motif de la mettre en doute ( art. 16 CC ; ATF 134 II 235 consid. 4.3.3 p. 240), la pleine responsabilité de l'auteur est présumée en droit pénal (arrêt 6B_540/2008 du 5 février 2009, consid. 2.3). Dans ce contexte juridique et sur la base du témoignage recueilli, en dépit de l'opinion contraire du recourant, les juges d'appel ont pu retenir sans arbitraire que d'hypothétiques séquelles de l'accident de 2007 n'entraient pas en considération, et qu'il n'était pas utile d'administrer d'autres preuves à ce sujet. Le moyen tiré des art. 19 et 20 CP est donc privé de fondement.</w:t>
      </w:r>
    </w:p>
    <w:p>
      <w:r>
        <w:rPr>
          <w:b/>
        </w:rPr>
        <w:t>E. 4.3</w:t>
      </w:r>
    </w:p>
    <w:p>
      <w:r>
        <w:t>Aux constatations de l'autorité précédente concernant les coups portés avec des ciseaux à B.________, le recourant oppose sa propre version des faits. Aux constatations concernant des infractions commises un soir de fin avril 2012, il oppose ses dénégations.</w:t>
      </w:r>
    </w:p>
    <w:p>
      <w:r>
        <w:t>Sur tous ces chefs de la contestation, et aussi sur la situation personnelle du recourant, les juges d'appel ont discuté en détail les preuves et indices disponibles; ils ont aussi rapporté et discuté les arguments du recourant, et expliqué pourquoi il ne leur paraissait pas utile d'administrer les preuves supplémentaires offertes par lui. Ils ont notamment expliqué pourquoi, à leur avis, le recourant a frappé B.________ en s'accommodant consciemment du risque de le tuer, ce qui motive la condamnation pour tentative de meurtre. A l'appui du recours en matière pénale, le recourant revient sur ces discussions; il critique point par point les considérants de l'arrêt attaqué et il développe sa propre appréciation des preuves et indices. Or, en principe et au regard de l' art. 105 al. 1 LTF , les faits de la cause échappent au contrôle du Tribunal fédéral. En tant que le recourant se plaint d'arbitraire et de violation de la présomption d'innocence, le tribunal ne discerne guère sur quels points il reproche réellement aux juges d'appel,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cette disposition légale et de la jurisprudence déjà citée relative à l' art. 97 al. 1 LTF .</w:t>
      </w:r>
    </w:p>
    <w:p>
      <w:r>
        <w:rPr>
          <w:b/>
        </w:rPr>
        <w:t>E. 5</w:t>
      </w:r>
    </w:p>
    <w:p>
      <w:r>
        <w:t>L'arrêt rendu en appel n'est pour le surplus pas contesté, de sorte que, dans la mesure où les griefs et conclusions présentés sont recevables, le recours en matière pénale se révèle privé de fondement.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