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6B_1128/2015 vom 26. November 2015</w:t>
      </w:r>
    </w:p>
    <w:p>
      <w:r>
        <w:t>Bundesgericht, 2015-11-26, FR</w:t>
      </w:r>
    </w:p>
    <w:p>
      <w:r>
        <w:rPr>
          <w:b/>
        </w:rPr>
        <w:t xml:space="preserve">Quelle: </w:t>
      </w:r>
      <w:r>
        <w:t>https://mcp.opencaselaw.ch/entscheid/bger_6B_1128_2015</w:t>
      </w:r>
    </w:p>
    <w:p>
      <w:r>
        <w:t>FR: TF 6B_1128/2015 du 26 novembre 2015</w:t>
      </w:r>
    </w:p>
    <w:p>
      <w:r>
        <w:t>IT: TF 6B_1128/2015 del 26 novembre 2015</w:t>
      </w:r>
    </w:p>
    <w:p>
      <w:pPr>
        <w:pStyle w:val="Heading2"/>
      </w:pPr>
      <w:r>
        <w:t>Erwägungen</w:t>
      </w:r>
    </w:p>
    <w:p>
      <w:r>
        <w:rPr>
          <w:b/>
        </w:rPr>
        <w:t>E. 1</w:t>
      </w:r>
    </w:p>
    <w:p>
      <w:r>
        <w:t>Par arrêt du 1er octobre 2015, la Chambre pénale de recours de la Cour de justice genevoise a rejeté le recours de X.________ SA contre l'ordonnance de non-entrée en matière rendue le 28 avril 2015 sur sa plainte déposée pour diffamation à l'encontre de Y.________, un réalisateur et une journaliste. La société prénommée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En l'occurrence, la recourante ne consacre aucun développement particulier à la question des prétentions civiles dans son mémoire de recours au Tribunal fédéral, se bornant à indiquer que celles-ci se déduisent directement et sans ambiguïté du cas d'espèce. Pareille affirmation ne fournit aucune indication sur la nature (tort moral ou dommage) ou le montant de l'indemnisation sujette à réparation et n'établit par conséquent aucunement l'intérêt juridique légitimant la partie plaignante à déposer le présent recours. L'absence de toute explication sur ce point exclut sa qualité pour recourir sur le fond de la cause.</w:t>
      </w:r>
    </w:p>
    <w:p>
      <w:r>
        <w:rPr>
          <w:b/>
        </w:rPr>
        <w:t>E. 2.2</w:t>
      </w:r>
    </w:p>
    <w:p>
      <w:r>
        <w:t>L'hypothèse visée à l'art. 81 al. 1 let. b ch. 6 LTF n'entre pas en considération, la contestation ne portant pas sur le droit de porter plainte de la recourante.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reproche aux autorités cantonales de n'avoir pas requis l'apport de la procédure en cours sur les mêmes faits devant le Tribunal des Montagnes et du Val-de-Ruz, laquelle serait susceptible de livrer des preuves complémentaires (cf. art. 389 al. 3 CPP ), respectivement de n'avoir pas suspendu la présente procédure dans l'attente de l'issue de cet autre procès (cf. art. 314 al. 1 let. b CPP ). Ce faisant, la recourante soulève des griefs irrecevables faute d'être séparés du fond.</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