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6B_1128/2013 vom 24. März 2014</w:t>
      </w:r>
    </w:p>
    <w:p>
      <w:r>
        <w:t>Bundesgericht, 2014-03-24, FR</w:t>
      </w:r>
    </w:p>
    <w:p>
      <w:r>
        <w:rPr>
          <w:b/>
        </w:rPr>
        <w:t xml:space="preserve">Quelle: </w:t>
      </w:r>
      <w:r>
        <w:t>https://mcp.opencaselaw.ch/entscheid/bger_6B_1128_2013</w:t>
      </w:r>
    </w:p>
    <w:p>
      <w:r>
        <w:t>FR: TF 6B_1128/2013 du 24 mars 2014</w:t>
      </w:r>
    </w:p>
    <w:p>
      <w:r>
        <w:t>IT: TF 6B_1128/2013 del 24 marzo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 plus cours (arrêt 6B_94/2013 du 3 octobre 2013 consid. 1.1).</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La recourante indique avoir pris des conclusions civiles à hauteur de 5000 fr. en remboursement de son dommage, consistant en une atteinte à sa vie privée et à son honneur et en un tort moral.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La recourante expose que son parcours professionnel aurait été altéré du fait des allégations de son ex-mari. Une augmentation de son taux de travail lui aurait été refusée et ses relations avec ses collègues se seraient détériorées, dès lors que sa probité professionnelle aurait été mise en doute. Toutefois, la recourante n'étaye pas ses allégations, ni n'indique précisément en quoi consisterait son dommage. Elle n'expose en outre pas en quoi l'atteinte serait suffisamment grave, ni en quoi sa souffrance serait suffisamment forte pour justifier une réparation de son tort moral. Le mémoire de recours ne répond ainsi pas aux exigences minimales de l' art. 42 LTF .</w:t>
      </w:r>
    </w:p>
    <w:p>
      <w:r>
        <w:t>Il s'ensuit que l'absence d'explication suffisante sur les prétentions civiles exclut la qualité pour recourir de la recourante. Le recours est donc irrecevable en tant qu'il porte sur le fond de la cause.</w:t>
      </w:r>
    </w:p>
    <w:p>
      <w:r>
        <w:rPr>
          <w:b/>
        </w:rPr>
        <w:t>E. 1.3</w:t>
      </w:r>
    </w:p>
    <w:p>
      <w:r>
        <w:t>La recourante pourrait le cas échéant être habilitée à se plaindre d'une violation de ses droits de partie équivalant à un déni de justice formel, sans toutefois pouvoir faire valoir par ce biais, même indirectement, des moyens qui ne peuvent être séparés du fond ( ATF 136 IV 29 consid. 1.9 p. 40 et les références citées). En l'occurrence, la recourante se plaint de ce que l'autorité cantonale aurait estimé que sa plainte pénale du 7 mars 2012 ne concernait pas les infractions de diffamation ou de calomnie. Si la cour cantonale a certes retenu que les faits décrits dans la plainte pénale du 7 mars 2012 ne couvraient pas ces infractions, elle a relevé que le point de savoir si le complément de plainte de la recourante du 20 mars 2013 concernant ces infractions respectait le délai de l' art. 31 CP pouvait être laissé ouvert, dès lors que les infractions contre l'honneur reprochées à son ex-mari n'étaient de toute façon pas réalisées. Elle est ainsi entrée en matière sur les griefs au fond de la recourante quant à la réalisation des infractions de diffamation et calomnie. Par ses critiques relatives à la violation de ses droits de partie, la recourante entend, en réalité, établir le fondement de ses accusations, de sorte que ses griefs ne peuvent être séparés du fond et ne sauraient, partant, fonder sa qualité pour recourir. Il en va de même lorsqu'elle se plaint de l'absence de suite donnée aux mesures d'instruction qu'elle a requises, en violation selon elle de l' art. 318 CPP .</w:t>
      </w:r>
    </w:p>
    <w:p>
      <w:r>
        <w:rPr>
          <w:b/>
        </w:rPr>
        <w:t>E. 2</w:t>
      </w:r>
    </w:p>
    <w:p>
      <w:r>
        <w:t>Faute de qualité pour recourir, le recours est irrecevable et doit être écarté en application de l' art. 108 al. 1 let. b LTF . La recourante, qui succombe, supportera les frais judiciaires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