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1127/2020 vom 10. November 2020</w:t>
      </w:r>
    </w:p>
    <w:p>
      <w:r>
        <w:t>Bundesgericht, 2020-11-10, DE</w:t>
      </w:r>
    </w:p>
    <w:p>
      <w:r>
        <w:rPr>
          <w:b/>
        </w:rPr>
        <w:t xml:space="preserve">Quelle: </w:t>
      </w:r>
      <w:r>
        <w:t>https://mcp.opencaselaw.ch/entscheid/bger_6B_1127_2020</w:t>
      </w:r>
    </w:p>
    <w:p>
      <w:r>
        <w:t>FR: TF 6B 1127/2020 du 10 novembre 2020</w:t>
      </w:r>
    </w:p>
    <w:p>
      <w:r>
        <w:t>IT: TF 6B 1127/2020 del 10 novembre 2020</w:t>
      </w:r>
    </w:p>
    <w:p>
      <w:pPr>
        <w:pStyle w:val="Heading2"/>
      </w:pPr>
      <w:r>
        <w:t>Regeste</w:t>
      </w:r>
    </w:p>
    <w:p>
      <w:r>
        <w:t>Widerhandlung gegen das Strassenverkehrsgesetz; Nichteintreten | Straftaten</w:t>
      </w:r>
    </w:p>
    <w:p>
      <w:pPr>
        <w:pStyle w:val="Heading2"/>
      </w:pPr>
      <w:r>
        <w:t>Erwägungen</w:t>
      </w:r>
    </w:p>
    <w:p>
      <w:r>
        <w:rPr>
          <w:b/>
        </w:rPr>
        <w:t>E. 1</w:t>
      </w:r>
    </w:p>
    <w:p>
      <w:r>
        <w:t>Das Obergericht des Kantons Glarus verurteilte den Beschwerdeführer mit Urteil vom 28. August 2020 im Berufungsverfahren wegen Widerhandlung gegen das Strassenverkehrsgesetz im Sinne von Art. 93 Abs. 2 lit. a SVG i.V.m. Art. 29 SVG , Art. 219 Abs. 1 lit. c sowie Art. 34 Abs. 2 lit. h VTS und im Sinne von Art. 96 VRV i.V.m. Art. 27 Abs. 1 VRV und büsste ihn mit Fr. 220.-- (Ersatzfreiheitsstrafe 3 Tage). Der Beschwerdeführer wendet sich an das Bundesgericht. Er strebt einen Freispruch an.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 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6B_1047/2018 vom 19. Februar 2019 E. 1.1.2 mit Hinweisen).</w:t>
      </w:r>
    </w:p>
    <w:p>
      <w:r>
        <w:rPr>
          <w:b/>
        </w:rPr>
        <w:t>E. 3</w:t>
      </w:r>
    </w:p>
    <w:p>
      <w:r>
        <w:t>Die Beschwerde genügt den gesetzlichen Begründungsanforderungen nicht. Der Beschwerdeführer setzt sich mit den Erwägungen der Vorinstanz und den von dieser lediglich auf Willkür zu prüfenden Sachverhaltsfeststellungen des Kantonsgerichts nicht auseinander (vgl. Art. 398 Abs. 4 StPO ). Stattdessen beschränkt er sich vor Bundesgericht darauf, seine bereits im kantonalen Verfahren vorgetragene und von der Vorinstanz verworfene Sicht der Sach- und Rechtslage zu wiederholen. Damit vermag der Beschwerdeführer indessen nicht darzutun, inwiefern der Vorinstanz eine offensichtlich unrichtige Feststellung des Sachverhalts oder sonst wie eine Verletzung von Bundesrecht vorzuwerfen wäre. Der Begründungsmangel ist offensichtlich ( Art. 42 Abs. 2 BGG ).</w:t>
      </w:r>
    </w:p>
    <w:p>
      <w:r>
        <w:rPr>
          <w:b/>
        </w:rPr>
        <w:t>E. 4</w:t>
      </w:r>
    </w:p>
    <w:p>
      <w:r>
        <w:t>Auf die Beschwerde ist im Verfahren nach Art. 108 BGG mangels tauglicher Begründung nicht einzutreten. Das sinngemässe Gesuch um unentgeltliche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