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6B_1126/2022 vom 29. September 2022</w:t>
      </w:r>
    </w:p>
    <w:p>
      <w:r>
        <w:t>Bundesgericht, 2022-09-29, FR</w:t>
      </w:r>
    </w:p>
    <w:p>
      <w:r>
        <w:rPr>
          <w:b/>
        </w:rPr>
        <w:t xml:space="preserve">Quelle: </w:t>
      </w:r>
      <w:r>
        <w:t>https://mcp.opencaselaw.ch/entscheid/bger_6B_1126_2022</w:t>
      </w:r>
    </w:p>
    <w:p>
      <w:r>
        <w:t>FR: TF 6B_1126/2022 du 29 septembre 2022</w:t>
      </w:r>
    </w:p>
    <w:p>
      <w:r>
        <w:t>IT: TF 6B_1126/2022 del 29 settembre 2022</w:t>
      </w:r>
    </w:p>
    <w:p>
      <w:pPr>
        <w:pStyle w:val="Heading2"/>
      </w:pPr>
      <w:r>
        <w:t>Erwägungen</w:t>
      </w:r>
    </w:p>
    <w:p>
      <w:r>
        <w:rPr>
          <w:b/>
        </w:rPr>
        <w:t>E. 1</w:t>
      </w:r>
    </w:p>
    <w:p>
      <w:r>
        <w:t>Par jugement du 7 octobre 2021, le Tribunal de police de la République et canton de Genève a classé la procédure dirigée contre A.________ pour violation d'une obligation d'entretien en tant qu'elle concernait la période du 1</w:t>
      </w:r>
    </w:p>
    <w:p>
      <w:r>
        <w:t>er mars au 5 août 2020 et l'a acquitté de cette même infraction pour le surplus, a rejeté ses conclusions en indemnisation et l'a condamné aux frais de la procédure.</w:t>
      </w:r>
    </w:p>
    <w:p>
      <w:r>
        <w:t>Statuant sur l'appel formé par le Service cantonal d'avance et de recouvrement des pensions alimentaires (SCARPA) genevois, la Chambre pénale d'appel et de révision de la Cour de justice genevoise l'a admis et a condamné A.________ pour violation d'une obligation d'entretien à une peine pécuniaire de 120 jours-amende à 20 fr. le jour avec sursis et délai d'épreuve de trois ans, mis les frais de première et deuxième instances à sa charge et rejeté ses conclusions en indemnisation. Elle a, en outre, rejeté la demande de non-entrée en matière et l'appel joint de A.________.</w:t>
      </w:r>
    </w:p>
    <w:p>
      <w:r>
        <w:t>A.________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t>En l'espèce, le recourant ne formule aucune conclusion. En outre, son argumentation consiste uniquement en une vaste rediscussion des faits. Ce faisant, il ne fait qu'opposer sa propre version à celle de la cour cantonale, dans une démarche purement appellatoire. Il en va de même lorsque le recourant se fonde sur des faits non constatés dans l'arrêt attaqué, sans qu'il ne cherche à démontrer qu'ils auraient été arbitrairement omis. Les critiques du recourant ne répondent ainsi pas aux exigences de motivation accrues de l' art. 106 al. 2 LTF et sont, par conséquent, irrecevables. Pour le surplus, le recourant ne démontre pas en quoi la cour cantonale aurait violé le droit. Il ne présente ainsi aucun grief répondant aux exigences de motivation de l' art. 42 al. 2 LTF .</w:t>
      </w:r>
    </w:p>
    <w:p>
      <w:r>
        <w:rPr>
          <w:b/>
        </w:rPr>
        <w:t>E. 3</w:t>
      </w:r>
    </w:p>
    <w:p>
      <w:r>
        <w:t>Sur le vu de ce qui précède, le recours doit être déclaré irrecevable selon la procédure simplifiée prévue par l' art. 108 al. 1 let. a et b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