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1122/2021 vom 20. Juni 2022</w:t>
      </w:r>
    </w:p>
    <w:p>
      <w:r>
        <w:t>Bundesgericht, 2022-06-20, FR</w:t>
      </w:r>
    </w:p>
    <w:p>
      <w:r>
        <w:rPr>
          <w:b/>
        </w:rPr>
        <w:t xml:space="preserve">Quelle: </w:t>
      </w:r>
      <w:r>
        <w:t>https://mcp.opencaselaw.ch/entscheid/bger_6B_1122_2021</w:t>
      </w:r>
    </w:p>
    <w:p>
      <w:r>
        <w:t>FR: TF 6B 1122/2021 du 20 juin 2022</w:t>
      </w:r>
    </w:p>
    <w:p>
      <w:r>
        <w:t>IT: TF 6B 1122/2021 del 20 giugno 2022</w:t>
      </w:r>
    </w:p>
    <w:p>
      <w:pPr>
        <w:pStyle w:val="Heading2"/>
      </w:pPr>
      <w:r>
        <w:t>Regeste</w:t>
      </w:r>
    </w:p>
    <w:p>
      <w:r>
        <w:t>Demande de révision ; arbitraire, droit d'être entendu, etc. | Procédure pénale</w:t>
      </w:r>
    </w:p>
    <w:p>
      <w:pPr>
        <w:pStyle w:val="Heading2"/>
      </w:pPr>
      <w:r>
        <w:t>Erwägungen</w:t>
      </w:r>
    </w:p>
    <w:p>
      <w:r>
        <w:rPr>
          <w:b/>
        </w:rPr>
        <w:t>E. 1</w:t>
      </w:r>
    </w:p>
    <w:p>
      <w:r>
        <w:t>Le recourant se plaint de violations de l'interdiction de l'arbitraire, de son droit d'être entendu ainsi que des art. 410 et 412 CPP .</w:t>
      </w:r>
    </w:p>
    <w:p>
      <w:r>
        <w:rPr>
          <w:b/>
        </w:rPr>
        <w:t>E. 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arrêts cités; arrêt 6B_297/2020 du 10 juillet 2020 consid. 1.1.3).</w:t>
      </w:r>
    </w:p>
    <w:p>
      <w:r>
        <w:rPr>
          <w:b/>
        </w:rPr>
        <w:t>E. 1.2</w:t>
      </w:r>
    </w:p>
    <w:p>
      <w:r>
        <w:t>Il y a lieu de relever en premier lieu que l'objet du litige est limité à la seule question tranchée par la cour cantonale, c'est-à-dire celle de savoir si la demande de révision formée par le recourant reposait sur des éléments nouveaux et sérieux. L'argumentation du recourant est par conséquent irrecevable dans toute la mesure où elle ne porte pas sur ce point, notamment en tant qu'elle consiste à remettre en cause l'appréciation des preuves effectuée dans l'arrêt du 26 septembre 2019.</w:t>
      </w:r>
    </w:p>
    <w:p>
      <w:r>
        <w:rPr>
          <w:b/>
        </w:rPr>
        <w:t>E. 1.3</w:t>
      </w:r>
    </w:p>
    <w:p>
      <w:r>
        <w:t>Le recourant se plaint d'un défaut de motivation de l'arrêt attaqué.</w:t>
      </w:r>
    </w:p>
    <w:p>
      <w:r>
        <w:rPr>
          <w:b/>
        </w:rPr>
        <w:t>E. 1.3.1</w:t>
      </w:r>
    </w:p>
    <w:p>
      <w:r>
        <w:t>Le droit d'être entendu, tel qu'il est garanti par les art. 29 al. 2 Cst. , 3 al. 2 let. c et 107 CPP ainsi que 6 par. 1 CEDH, implique notamment l'obligation pour l'autorité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w:t>
      </w:r>
    </w:p>
    <w:p>
      <w:r>
        <w:rPr>
          <w:b/>
        </w:rPr>
        <w:t>E. 1.3.2</w:t>
      </w:r>
    </w:p>
    <w:p>
      <w:r>
        <w:t>Dans la mesure où l'argumentation du recourant a trait à ses observations du 7 novembre 2014, il faut rappeler, comme l'a fait la cour cantonale et comme l'avait relevé le Tribunal fédéral dans son arrêt 6B_1254/2019 du 16 mars 2020, que le moment à partir duquel C.________ a eu connaissance du concubinage entre D.________ et B.________ est sans pertinence (voir consid. A.b i.f. ci-dessus), de sorte qu'il n'y a pas lieu d'examiner si le recourant invoque dans ce contexte des faits nouveaux puisque ceux-ci ne seraient de toute manière pas propres à influer sur le sort de la cause. Reste seule à examiner la question de la date à laquelle C.________ a eu connaissance du contenu du courrier du 5 juin 2014 et, partant de la tardiveté de la plainte, invoquée par le recourant. A ce propos, il ressort de l'arrêt attaqué que les échanges de courriers postérieurs à l'arrêt du Tribunal fédéral, dont se prévaut le recourant, ne constituent pas un moyen de preuve propre à modifier les constatations faites précédemment; ils n'établissent pas la tenue d'une " audience de justification ". Par ailleurs, l'existence d'un échange oral entre C.________ et un Conseiller d'État, dont on ne sait pas quand il a eu lieu, ne constitue pas une preuve que le premier connaissait l'existence et a fortiori le contenu de ce courrier avant le 30 janvier 2015. Cette motivation est suffisante pour permettre au recourant de comprendre les raisons pour lesquelles sa requête a été rejetée et attaquer utilement la décision y relative. Partant, l'arrêt attaqué ne viole pas son droit d'être entendu.</w:t>
      </w:r>
    </w:p>
    <w:p>
      <w:r>
        <w:rPr>
          <w:b/>
        </w:rPr>
        <w:t>E. 1.4</w:t>
      </w:r>
    </w:p>
    <w:p>
      <w:r>
        <w:t>Le recourant se plaint d'une violation de l'interdiction de l'arbitraire.</w:t>
      </w:r>
    </w:p>
    <w:p>
      <w:r>
        <w:rPr>
          <w:b/>
        </w:rPr>
        <w:t>E. 1.4.1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1.4.2</w:t>
      </w:r>
    </w:p>
    <w:p>
      <w:r>
        <w:t>Par une motivation passablement prolixe et confuse, le recourant semble vouloir remettre en question l'ensemble des constatations retenues dans les procédures tant civile que pénale, ce qui n'est pas recevable dans le cadre de la présente procédure de révision. Par ailleurs, son argumentation est largement appellatoire dans la mesure où elle consiste essentiellement à opposer sa propre version des faits à celle retenue par la cour cantonale, sans parvenir à montrer en quoi cette dernière serait insoutenable. Force est de constater qu'il n'apporte aucun élément nouveau propre à établir que C.________ aurait eu connaissance du contenu de sa correspondance du 5 juin 2014 avant le 30 janvier 2015. Dans ces circonstances, c'est sans violer le droit fédéral que la cour cantonale a admis que les éléments invoqués n'étaient pas nouveaux et sérieux, de sorte que son refus d'entrer en matière sur sa demande de révision ne viole pas les art. 410 et 412 CPP . Mal fondé, le recours doit être rejeté dans la mesure où il est recevable.</w:t>
      </w:r>
    </w:p>
    <w:p>
      <w:r>
        <w:rPr>
          <w:b/>
        </w:rPr>
        <w:t>E. 2</w:t>
      </w:r>
    </w:p>
    <w:p>
      <w:r>
        <w:t>Vu l'issue de la procédure,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