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6B_1117/2017 vom 26. April 2018</w:t>
      </w:r>
    </w:p>
    <w:p>
      <w:r>
        <w:t>Bundesgericht, 2018-04-26, DE</w:t>
      </w:r>
    </w:p>
    <w:p>
      <w:r>
        <w:rPr>
          <w:b/>
        </w:rPr>
        <w:t xml:space="preserve">Quelle: </w:t>
      </w:r>
      <w:r>
        <w:t>https://mcp.opencaselaw.ch/entscheid/bger_6B_1117_2017</w:t>
      </w:r>
    </w:p>
    <w:p>
      <w:r>
        <w:t>FR: TF 6B_1117/2017 du 26 avril 2018</w:t>
      </w:r>
    </w:p>
    <w:p>
      <w:r>
        <w:t>IT: TF 6B_1117/2017 del 26 aprile 2018</w:t>
      </w:r>
    </w:p>
    <w:p>
      <w:pPr>
        <w:pStyle w:val="Heading2"/>
      </w:pPr>
      <w:r>
        <w:t>Erwägungen</w:t>
      </w:r>
    </w:p>
    <w:p>
      <w:r>
        <w:rPr>
          <w:b/>
        </w:rPr>
        <w:t>E. 1</w:t>
      </w:r>
    </w:p>
    <w:p>
      <w:r>
        <w:t>Die Beschwerdeführerin rügt, aufgrund des engen Konnexes zwischen den Aussagen von X.________ im gegen sie geführten Strafverfahren sei offenkundig, dass sie im zu eröffnenden Strafverfahren wegen falscher Anschuldigungen, etc. adhäsionsweise Entschädigungs- und Genugtuungsforderungen wird stellen können. Unabhängig von den Zivilforderungen habe sie zudem ein rechtlich geschütztes Interesse an der Aufhebung des angefochtenen Beschlusses, da die Abklärungen der gegen X.________ erhobenen Vorwürfe direkten Einfluss auf das gegen sie geführte Strafverfahren hätten.</w:t>
      </w:r>
    </w:p>
    <w:p>
      <w:r>
        <w:rPr>
          <w:b/>
        </w:rPr>
        <w:t>E. 2.1</w:t>
      </w:r>
    </w:p>
    <w:p>
      <w:r>
        <w:t>Die Privatklägerschaft ist auch bei einer Nichtanhandnahme oder Einstellung des Strafverfahrens zur Beschwerde in Strafsachen nur legitimiert, wenn der angefochtene Entscheid sich auf die Beurteilung ihrer Zivilansprüche auswirken kann (Art. 81 Abs. 1 lit. b Ziff. 5 BGG). Sofern es aufgrund der Natur der untersuchten Straftat nicht ohne Weiteres ersichtlich ist, muss die Privatklägerschaft im bundesgerichtlichen Beschwerdeverfahren darlegen, aus welchen Gründen sich der angefochtene Entscheid inwiefern auf welche Zivilforderung auswirken kann. Das Bundesgericht stellt an die Begründung der Legitimation strenge Anforderungen. Genügt die Beschwerde diesen nicht, kann darauf nur eingetreten werden ( BGE 141 IV 1 E. 1.1 S. 4 f. mit Hinweisen).</w:t>
      </w:r>
    </w:p>
    <w:p>
      <w:r>
        <w:rPr>
          <w:b/>
        </w:rPr>
        <w:t>E. 2.2</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Ein in der Sache nicht legitimierter Beschwerdeführer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79 f.; je mit Hinweisen).</w:t>
      </w:r>
    </w:p>
    <w:p>
      <w:r>
        <w:rPr>
          <w:b/>
        </w:rPr>
        <w:t>E. 3</w:t>
      </w:r>
    </w:p>
    <w:p>
      <w:r>
        <w:t>Die Beschwerde erweist sich als unbegründet, soweit auf sie eingetreten werden kann.</w:t>
      </w:r>
    </w:p>
    <w:p>
      <w:r>
        <w:rPr>
          <w:b/>
        </w:rPr>
        <w:t>E. 3.1</w:t>
      </w:r>
    </w:p>
    <w:p>
      <w:r>
        <w:t>Die Beschwerdeführerin zeigt nicht auf, inwiefern sich der angefochtene Entscheid auf welche allfälligen Zivilansprüche auswirken soll; dies ist auch gestützt auf die Natur der Vorwürfe nicht ersichtlich. Zivilforderungen im Sinne von Art. 81 Abs. 1 lit. b Ziff. 5 BGG sind (in erster Linie) vor den Zivilgerichten geltend zu machende Ansprüche auf Schadenersatz und Genugtuung gemäss Art. 41 ff. OR (Urteile 6B_873/2017 vom 12. März 2018 E. 1.1; 6B_730/2017 vom 7. März 2018 E. 1.3; je mit Hinweisen), die unmittelbar aus der angezeigten Straftat resultieren. Entgegen der Ansicht der Beschwerdeführerin fällt hierunter weder der zu entschädigende Aufwand ihres Rechtsbeistandes im gegen X.________ eingestellten noch aus dem gegen sie geführten, hängigen Strafverfahren. Das Anwaltshonorar stellt keinen unmittelbar durch die allfälligen Straftaten verursachten Deliktsschaden dar und begründet keine Geschädigtenstellung im Sinne von Art. 115 Abs. 1 StPO . Derartige Aufwendungen sind, egal von welcher Verfahrenspartei, gemäss Art. 426 - Art. 433 StPO , die die Verteilung und Zusprechung von Verfahrenskosten, Entschädigungen und Genugtuungen abschliessend regeln, im jeweiligen Strafverfahren als Entschädigungsanspruch geltend zu machen (vgl. Urteile 6B_1036/2017 vom 27. November 2017 E. 3; 6B_472/2017 vom 23. August 2017 E. 3). Würde Art. 81 Abs. 1 lit. b Ziff. 5 BGG nicht nur die unmittelbar aus Straftaten resultierenden Zivilansprüche, sondern auch Verfahrens- und Anwaltskosten erfassen, wäre die Norm überflüssig, da jede (anwaltlich vertretene) Privatklägerschaft stets zur Beschwerde in Strafsachen legitimiert wäre.</w:t>
      </w:r>
    </w:p>
    <w:p>
      <w:r>
        <w:rPr>
          <w:b/>
        </w:rPr>
        <w:t>E. 3.2</w:t>
      </w:r>
    </w:p>
    <w:p>
      <w:r>
        <w:t>Die gerügte Verletzung von Verfahrensrechten erweist sich im Ergebnis als unbegründet. Die Vorinstanz bezeichnet die Dauer von über dreieinhalb Jahren zwischen Anzeigeerstattung und Erlass der Nichtanhandnahmeverfügung zu Recht als nicht nachvollziehbar. Mit dem Entscheid in der Sache haben Staatsanwaltschaft und Vorinstanz jedoch dem Anspruch der Beschwerdeführerin auf Erlass einer anfechtbaren Verfügung entsprochen. Eine Rechtsverweigerung liegt demnach nicht vor; dass die zu lange Verfahrensdauer ursächlich für die Nichtanhandnahme ist, macht die Beschwerdeführerin zu Recht nicht geltend. Von einer lediglich summarischen Prüfung der erhobenen Vorwürfe kann keine Rede sein. Auf die an der Einstellungsverfügung der Staatsanwaltschaft vom 28. Dezember 2016 erhobene Kritik ist nicht einzutreten, denn Gegenstand des bundesgerichtlichen Verfahrens ist ausschliesslich der angefochtene Beschluss der Vorinstanz (vgl. Art. 80 Abs. 1, Art. 90 BGG ). Die Vorinstanz setzt sich ausführlich mit den erhobenen Vorwürfen der Beschwerdeführerin auseinander und legt auf drei Seiten nachvollziehbar dar, warum ihrer Meinung nach die Staatsanwaltschaft einen hinreichenden Tatverdacht aus rechtlichen Gründen zutreffend verneint hat. Ob und inwieweit die gegen X.________ erhobenen Vorbringen einen Einfluss auf die tatsächliche und rechtliche Beurteilung der im gegen die Beschwerdeführerin geführten Strafverfahren haben, war nicht Gegenstand (der Nichtanhandnahmeverfügung und) des angefochtenen Entscheids und ist demnach vorliegend nicht zu beurteilen.</w:t>
      </w:r>
    </w:p>
    <w:p>
      <w:r>
        <w:rPr>
          <w:b/>
        </w:rPr>
        <w:t>E. 3.3</w:t>
      </w:r>
    </w:p>
    <w:p>
      <w:r>
        <w:t>Mit der Beschwerde in Strafsachen kann auch die Verletzung von Verfassungsrecht gerügt werden ( Art. 95 lit. a BGG ). Die subsidiäre Verfassungsbeschwerde ( Art. 113 ff. BGG ) steht nicht zur Verfügung, wenn auf die Beschwerde in Strafsachen mangels Beschwerdelegitimation oder Formmängeln nicht eingetreten werden kann (vgl. Urteile 6B_730/2017 vom 7. März 2018 E. 1.1; 6B_1018/2017 vom 2. Oktober 2017 E. 2; je mit Hinweisen).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