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6B_1117/2014 vom 9. September 2015</w:t>
      </w:r>
    </w:p>
    <w:p>
      <w:r>
        <w:t>Bundesgericht, 2015-09-09, FR</w:t>
      </w:r>
    </w:p>
    <w:p>
      <w:r>
        <w:rPr>
          <w:b/>
        </w:rPr>
        <w:t xml:space="preserve">Quelle: </w:t>
      </w:r>
      <w:r>
        <w:t>https://mcp.opencaselaw.ch/entscheid/bger_6B_1117_2014</w:t>
      </w:r>
    </w:p>
    <w:p>
      <w:r>
        <w:t>FR: TF 6B_1117/2014 du 9 septembre 2015</w:t>
      </w:r>
    </w:p>
    <w:p>
      <w:r>
        <w:t>IT: TF 6B_1117/2014 del 9 settembre 2015</w:t>
      </w:r>
    </w:p>
    <w:p>
      <w:pPr>
        <w:pStyle w:val="Heading2"/>
      </w:pPr>
      <w:r>
        <w:t>Erwägungen</w:t>
      </w:r>
    </w:p>
    <w:p>
      <w:r>
        <w:rPr>
          <w:b/>
        </w:rPr>
        <w:t>E. 1</w:t>
      </w:r>
    </w:p>
    <w:p>
      <w:r>
        <w:t>En date du 12 septembre 2012, A.X.________ a déposé contre son neveu par alliance B.X.________ une plainte pénale pour violation du domaine secret ou du domaine privé au moyen d'un appareil de prise de vue ( art. 179quater CP ), motif pris que ce voisin, dont le père est en procès avec le mari de la plaignante pour des questions successorales, avait installé dernièrement une caméra sous l'avant-toit de sa villa à C.________.</w:t>
      </w:r>
    </w:p>
    <w:p>
      <w:r>
        <w:rPr>
          <w:b/>
        </w:rPr>
        <w:t>E. 2</w:t>
      </w:r>
    </w:p>
    <w:p>
      <w:r>
        <w:t>Par prononcé du 5 février 2014, le Ministère public du Valais central a classé la plainte déposée par A.X.________ en application de l' art. 319 al. 1 CPP . Par ordonnance du 15 octobre 2014, la chambre pénale du Tribunal cantonal du Valais a rejeté le recours formé par la plaignante et confirmé l'ordonnance de classement.</w:t>
      </w:r>
    </w:p>
    <w:p>
      <w:r>
        <w:rPr>
          <w:b/>
        </w:rPr>
        <w:t>E. 3</w:t>
      </w:r>
    </w:p>
    <w:p>
      <w:r>
        <w:t>A.X.________ forme un recours en matière pénale auprès du Tribunal fédéral contre cette ordonnance. Elle conclut, avec suite de frais et dépens, à son annulation et au renvoi de la cause au Ministère public pour nouvelle instruction.</w:t>
      </w:r>
    </w:p>
    <w:p>
      <w:r>
        <w:rPr>
          <w:b/>
        </w:rPr>
        <w:t>E. 4</w:t>
      </w:r>
    </w:p>
    <w:p>
      <w:r>
        <w:t>Le Tribunal fédéral examine d'office et librement la recevabilité des recours qui lui sont soumis ( ATF 139 III 252 consid. 1.1 p. 252).</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rPr>
          <w:b/>
        </w:rPr>
        <w:t>E. 4.2</w:t>
      </w:r>
    </w:p>
    <w:p>
      <w:r>
        <w:t>En l'espèce, la recourante se limite à alléguer avoir subi essentiellement un tort moral qu'elle chiffre à 2'000 francs. Elle ne consacre cependant aucun développement à cette prétention qui permette de comprendre en quoi l'atteinte subie serait suffisamment grave, ni en quoi sa souffrance serait assez forte pour justifier une réparation en tort moral. L'absence de toute explication circonstanciée sur ce point exclut sa qualité pour recourir sur le fond de la cause.</w:t>
      </w:r>
    </w:p>
    <w:p>
      <w:r>
        <w:rPr>
          <w:b/>
        </w:rPr>
        <w:t>E. 4.3</w:t>
      </w:r>
    </w:p>
    <w:p>
      <w:r>
        <w:t>Pour le surplus, la recourante ne fait valoir aucune violation de ses droits procéduraux (cf. art. 81 al. 1 let. b ch. 6 LTF; voir ATF 141 IV 1 consid. 1.1 p. 4). Dans la mesure où elle invoque la violation du droit d'être entendu en rapport avec le refus d'administration de certaines preuves en violation de l' art. 318 al. 2 CPP , elle se prévaut de griefs irrecevables, faute d'être séparés du fond.</w:t>
      </w:r>
    </w:p>
    <w:p>
      <w:r>
        <w:rPr>
          <w:b/>
        </w:rPr>
        <w:t>E. 4.4</w:t>
      </w:r>
    </w:p>
    <w:p>
      <w:r>
        <w:t>Sur le vu de ce qui précède, le recours doit être déclaré irrecevable selon la procédure simplifiée prévue par l' art. 108 al. 1 let. a LTF .</w:t>
      </w:r>
    </w:p>
    <w:p>
      <w:r>
        <w:rPr>
          <w:b/>
        </w:rPr>
        <w:t>E. 5</w:t>
      </w:r>
    </w:p>
    <w:p>
      <w:r>
        <w:t>La recourante, qui succombe, devra supporter les frais judiciaires ( art. 66 al. 1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