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6B_1113/2019 vom 1. November 2019</w:t>
      </w:r>
    </w:p>
    <w:p>
      <w:r>
        <w:t>Bundesgericht, 2019-11-01, FR</w:t>
      </w:r>
    </w:p>
    <w:p>
      <w:r>
        <w:rPr>
          <w:b/>
        </w:rPr>
        <w:t xml:space="preserve">Quelle: </w:t>
      </w:r>
      <w:r>
        <w:t>https://mcp.opencaselaw.ch/entscheid/bger_6B_1113_2019</w:t>
      </w:r>
    </w:p>
    <w:p>
      <w:r>
        <w:t>FR: TF 6B_1113/2019 du 1 novembre 2019</w:t>
      </w:r>
    </w:p>
    <w:p>
      <w:r>
        <w:t>IT: TF 6B_1113/2019 del 1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26 septembre 2019, A.________ forme un recours en matière pénale au Tribunal fédéral contre une ordonnance du 24 septembre 2019, par laquelle la Chambre pénale du Tribunal cantonal valaisan a déclaré irrecevable, frais (300 fr.) à la charge de son auteur, le recours formé par A.________ contre une ordonnance de l'Office régional du ministère public du Valais central, du 24 juillet 2019.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Les motifs doivent exposer succinctement en quoi la décision attaquée viole le droit ( art. 42 al. 2 LTF ). Le Tribunal fédéral n'examine la violation de droits fondamentaux, l'interdiction de l'arbitraire ( art. 9 Cst. ) en particulier, que si ce moyen est invoqué et motivé par le recourant ( art. 106 al. 2 LTF ), c'est-à-dire s'il a été expressément soulevé et exposé de manière claire et détaillée ( ATF 142 III 364 consid. 2.4 p. 368 et les références citées). Par ailleurs, la violation du droit cantonal de niveau infra-constitutionnel ne constitue pas un motif de recours au Tribunal fédéral (cf. art. 95 LTF ; v. p. ex.: arrêt 6B_1136/2015 du 18 juillet 2016 consid. 4.2).</w:t>
      </w:r>
    </w:p>
    <w:p>
      <w:r>
        <w:t>En l'espèce, A.________ critique exclusivement la quotité des frais mis à sa charge, dont la réglementation ressortit au droit cantonal ( art. 424 CPP ). Il invoque certes, dans ce contexte, son droit d'accès à la justice, en corrélation avec le principe d'égalité, et sa prétention à l'assistance judiciaire (art. 8 al. 1 et art. 29 al. 1 et 3 Cst. ). Toutefois, cette dernière question, précédemment soumise au Tribunal fédéral (arrêt 1B_409/2019 du 27 août 2019), n'est pas l'objet de l'ordonnance querellée ( art. 80 al. 1 LTF ). Et l'on ne perçoit pas concrètement en quoi la décision finale sur les frais aurait empêché le recourant d'accéder à la justice. L'intéressé ne tente aucune démonstration en ce sens. Pour le surplus, on recherche en vain dans l'écriture de recours tout grief d'arbitraire ( art. 9 Cst. ) dans l'application du droit cantonal répondant aux exigences de motivation accrues précitées et la seule indication que les frais de 300 fr. devraient, aux yeux du recourant, être réduits à 90 fr. ne suffit, en tout cas pas, à démontrer que la décision entreprise serait insoutenable dans son résultat.</w:t>
      </w:r>
    </w:p>
    <w:p>
      <w:r>
        <w:rPr>
          <w:b/>
        </w:rPr>
        <w:t>E. 3</w:t>
      </w:r>
    </w:p>
    <w:p>
      <w:r>
        <w:t>L'insuffisance de la motivation est patente. L'irrecevabilité du recours doit être constatée dans la procédure prévue par l' art. 108 al. 1 let. a et b LTF . Exceptionnellement, la présente peut être rendue sans frais (art. 65 al. 2 et 66 al. 1 LTF), ce qui rend sans objet l'assistance judiciaire requise.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