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1113/2016 vom 5. Dezember 2016</w:t>
      </w:r>
    </w:p>
    <w:p>
      <w:r>
        <w:t>Bundesgericht, 2016-12-05, DE</w:t>
      </w:r>
    </w:p>
    <w:p>
      <w:r>
        <w:rPr>
          <w:b/>
        </w:rPr>
        <w:t xml:space="preserve">Quelle: </w:t>
      </w:r>
      <w:r>
        <w:t>https://mcp.opencaselaw.ch/entscheid/bger_6B_1113_2016</w:t>
      </w:r>
    </w:p>
    <w:p>
      <w:r>
        <w:t>FR: TF 6B 1113/2016 du 5 décembre 2016</w:t>
      </w:r>
    </w:p>
    <w:p>
      <w:r>
        <w:t>IT: TF 6B 1113/2016 del 5 dicembre 2016</w:t>
      </w:r>
    </w:p>
    <w:p>
      <w:pPr>
        <w:pStyle w:val="Heading2"/>
      </w:pPr>
      <w:r>
        <w:t>Regeste</w:t>
      </w:r>
    </w:p>
    <w:p>
      <w:r>
        <w:t>Betrug | Straftaten</w:t>
      </w:r>
    </w:p>
    <w:p>
      <w:pPr>
        <w:pStyle w:val="Heading2"/>
      </w:pPr>
      <w:r>
        <w:t>Erwägungen</w:t>
      </w:r>
    </w:p>
    <w:p>
      <w:r>
        <w:rPr>
          <w:b/>
        </w:rPr>
        <w:t>E. 1</w:t>
      </w:r>
    </w:p>
    <w:p>
      <w:r>
        <w:t>Das Obergericht des Kantons Thurgau verurteilte den Beschwerdeführer am 27. Juni 2016 im Berufungsverfahren wegen Betrugs zu einer unbedingten Geldstrafe von 70 Tagessätzen à Fr. 30.--. Der Beschwerdeführer gelangt mit Beschwerde an das Bundesgericht. Er beantragt sinngemäss die Aufhebung des vorinstanzlichen Entscheids.</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 Die Eingabe des Beschwerdeführers an das Bundesgericht genügt den Anforderungen von Art. 42 Abs. 1 und 2 BGG nicht. Sie enthält keinerlei Begründung. Der Beschwerdeführer hat eine solche entgegen seiner ausdrücklichen Erklärung nicht innert Frist nachgereicht. Auf die Beschwerde ist im Verfahren nach Art. 108 BGG nicht einzutreten.</w:t>
      </w:r>
    </w:p>
    <w:p>
      <w:r>
        <w:rPr>
          <w:b/>
        </w:rPr>
        <w:t>E. 3</w:t>
      </w:r>
    </w:p>
    <w:p>
      <w:r>
        <w:t>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ist bei der Bemessung der Gerichtskosten Rechnung zu tragen ( Art. 65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