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6B_1113/2015 vom 12. November 2015</w:t>
      </w:r>
    </w:p>
    <w:p>
      <w:r>
        <w:t>Bundesgericht, 2015-11-12, DE</w:t>
      </w:r>
    </w:p>
    <w:p>
      <w:r>
        <w:rPr>
          <w:b/>
        </w:rPr>
        <w:t xml:space="preserve">Quelle: </w:t>
      </w:r>
      <w:r>
        <w:t>https://mcp.opencaselaw.ch/entscheid/bger_6B_1113_2015</w:t>
      </w:r>
    </w:p>
    <w:p>
      <w:r>
        <w:t>FR: TF 6B_1113/2015 du 12 novembre 2015</w:t>
      </w:r>
    </w:p>
    <w:p>
      <w:r>
        <w:t>IT: TF 6B_1113/2015 del 12 novembre 2015</w:t>
      </w:r>
    </w:p>
    <w:p>
      <w:pPr>
        <w:pStyle w:val="Heading2"/>
      </w:pPr>
      <w:r>
        <w:t>Erwägungen</w:t>
      </w:r>
    </w:p>
    <w:p>
      <w:r>
        <w:rPr>
          <w:b/>
        </w:rPr>
        <w:t>E. 1</w:t>
      </w:r>
    </w:p>
    <w:p>
      <w:r>
        <w:t>Der Beschwerdeführer reichte am 12. Januar 2014 bei der Staatsanwaltschaft Zug gegen fünf Personen Strafanzeige ein wegen "gewerbsmässigen schweren Prozessbetrugs, Unterschlagung von Beweismitteln und Erstellen von gefälschten und/oder verfälschten Beweismitteln". Die Straftaten sollen im Zusammenhang mit einer Arrestprosequierungsklage vom 17. Juli 2008 an das Kantonsgericht Zug stehen.</w:t>
      </w:r>
    </w:p>
    <w:p>
      <w:r>
        <w:t>Am 7. April 2015 nahm die Staatsanwaltschaft die Strafuntersuchung nicht an die Hand. Eine dagegen gerichtete Beschwerde wies das Obergericht des Kantons Zug am 8. Oktober 2015 ab.</w:t>
      </w:r>
    </w:p>
    <w:p>
      <w:r>
        <w:t>Der Beschwerdeführer wendet sich ans Bundesgericht und beantragt unter anderem, der Entscheid vom 8. Oktober 2015 sei aufzuheben und die Fortsetzung des Strafermittlungsverfahrens durch die Staatsanwaltschaft anzuordnen (Beschwerde S. 19 Ziff. 1).</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Der Beschwerdeführer äussert sich zu seiner Legitimation und zur Frage einer Zivilforderung nicht. Eine solche hat er denn auch im kantonalen Verfahren nicht spezifiziert (angefochtenes Urteil S. 3 E. 1.7 in fine). Die Beschwerde genügt in diesem Punkt den strengen Begründungsanforderungen nicht. Da die Beschwerdefrist eine gesetzliche ist, die nicht erstreckt werden kann ( Art. 47 Abs. 1 BGG ), kann das Bundesgericht den Beschwerdeführer in Bezug auf die Frage der Legitimation nicht zu einer Verbesserung der Beschwerde auffordern (Beschwerde S. 21 unten). Darauf ist mangels Legitimation des Beschwerdeführers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(vgl. Beschwerde S. 21 oben)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