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6B_1110/2019 vom 18. Dezember 2019</w:t>
      </w:r>
    </w:p>
    <w:p>
      <w:r>
        <w:t>Bundesgericht, 2019-12-18, FR</w:t>
      </w:r>
    </w:p>
    <w:p>
      <w:r>
        <w:rPr>
          <w:b/>
        </w:rPr>
        <w:t xml:space="preserve">Quelle: </w:t>
      </w:r>
      <w:r>
        <w:t>https://mcp.opencaselaw.ch/entscheid/bger_6B_1110_2019</w:t>
      </w:r>
    </w:p>
    <w:p>
      <w:r>
        <w:t>FR: TF 6B_1110/2019 du 18 décembre 2019</w:t>
      </w:r>
    </w:p>
    <w:p>
      <w:r>
        <w:t>IT: TF 6B_1110/2019 del 18 dicembre 2019</w:t>
      </w:r>
    </w:p>
    <w:p>
      <w:pPr>
        <w:pStyle w:val="Heading2"/>
      </w:pPr>
      <w:r>
        <w:t>Erwägungen</w:t>
      </w:r>
    </w:p>
    <w:p>
      <w:r>
        <w:rPr>
          <w:b/>
        </w:rPr>
        <w:t>E. 1</w:t>
      </w:r>
    </w:p>
    <w:p>
      <w:r>
        <w:t>La recourante s'en prend implicitement au refus d'entrer en matière sur sa demande de révision. Elle invoque une appréciation arbitraire du " nouveau document " produit à l'appui de sa demande (classeur de pièces comptables).</w:t>
      </w:r>
    </w:p>
    <w:p>
      <w:r>
        <w:rPr>
          <w:b/>
        </w:rPr>
        <w:t>E. 1.1.1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Cette disposition reprend la double exigence posée par l' art. 385 CP , selon laquelle les faits ou moyens de preuve invoqués doivent être nouveaux et sérieux (arrêts 6B_574/2019 du 9 septembre 2019 consid. 1.1; 6B_1111/2018 du 18 décembre 2018 consid. 2.1.1). Les faits ou moyens de preuve sont inconnus lorsque le juge n'en a pas eu connaissance au moment où il s'est prononcé, c'est-à-dire lorsqu'ils ne lui ont pas été soumis sous quelque forme que ce soit ( ATF 137 IV 59 consid. 5.1.2 p. 66 s.; 130 IV 72 consid. 1 p. 73; arrêt 6B_342/2019 du 9 juillet 2019 consid. 1.1). Ils sont sérieux lorsqu'ils sont propres à ébranler les constatations de fait sur lesquelles se fonde la condamnation et que l'état de fait ainsi modifié rend possible un jugement sensiblement plus favorable au condamné (arrêts 6B_574/2019 du 9 septembre 2019 consid. 1.1; 6B_342/2019 du 9 juillet 2019 consid. 1.1; cf. ATF 137 IV 59 consid. 5.1.4 p. 68; 130 IV 72 consid. 1 p. 73).</w:t>
      </w:r>
    </w:p>
    <w:p>
      <w:r>
        <w:t>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130 IV 72 consid. 2.2 p. 74; arrêt 6B_1055/2018 du 27 juin 2019 consid. 3).</w:t>
      </w:r>
    </w:p>
    <w:p>
      <w:r>
        <w:rPr>
          <w:b/>
        </w:rPr>
        <w:t>E. 1.1.2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6B_324/2019 du 24 avril 2019 consid. 3.1 et les références citées), ou encore lorsque la demande de révision apparaît abusive (arrêts 6B_324/2019 du 24 avril 2019 consid. 3.1; 6B_882/2017 du 23 mars 2018 consid. 1.1). Le refus d'entrer en matière s'impose alors pour des motifs d'économie de procédure, car si la situation est évidente, il n'y a pas de raison que l'autorité requière des déterminations ( art. 412 al. 3 CPP ) pour ensuite rejeter la demande ( art. 413 al. 1 CPP ; arrêt 6B_324/2019 du 24 avril 2019 consid. 3.1 et les références citées).</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arrêts 6B_574/2019 du 9 septembre 2019 consid. 1.2.1; 6B_426/2018 du 5 juillet 2018 consid. 3.2 et les références citées). Le Tribunal fédéral ne revoit par conséquent cette question que sous l'angle de l'arbitraire ( ATF 130 IV 72 consid. 1 p. 73; arrêt 6B_324/2019 du 24 avril 2019 consid. 3.2 et les références citées).</w:t>
      </w:r>
    </w:p>
    <w:p>
      <w:r>
        <w:rPr>
          <w:b/>
        </w:rPr>
        <w:t>E. 1.1.3</w:t>
      </w:r>
    </w:p>
    <w:p>
      <w:r>
        <w:t>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un grief de violation de l'interdiction de l'arbitraire que si ce grief a été invoqué et motivé de manière précise; les critiques de nature appellatoire sont irrecevables ( art. 106 al. 2 LTF ; ATF 143 IV 500 consid. 1.1 p. 503).</w:t>
      </w:r>
    </w:p>
    <w:p>
      <w:r>
        <w:rPr>
          <w:b/>
        </w:rPr>
        <w:t>E. 1.2</w:t>
      </w:r>
    </w:p>
    <w:p>
      <w:r>
        <w:t>La cour cantonale a examiné le classeur de pièces comptables versé au dossier à titre de moyen de révision, à l'aune des éléments de fait retenus dans le jugement de condamnation. Elle a relevé que le comportement reproché à la recourante par la cour d'appel consistait à avoir encaissé personnellement, sur un compte ouvert à son nom propre le 26 novembre 2010, des honoraires revenant à la société B.________ SA. La recourante ayant déposé un avis de surendettement de la société le 17 septembre 2010, elle avait conservé ces honoraires dès le 5 janvier 2011 et jusqu'en septembre 2011, alors qu'ils auraient dû entrer dans les actifs de la société, puis être distribués conformément au tableau de distribution à établir par l'Office des faillites. Selon le jugement de condamnation, la recourante n'avait jamais eu l'intention de solder des créances qu'elle aurait eues contre la société, puisqu'elle avait produit des créances dans la faillite sans en déduire les honoraires de la société encaissés par elle. La recourante n'avait non seulement jamais invoqué la compensation, mais n'avait jamais eu l'intention de le faire, dans la mesure où elle avait contesté devoir rembourser cet argent. Il n'était pas reproché à la recourante d'avoir omis d'annoncer un compte à son nom, mais d'avoir, par ses agissements, caché au Préposé l'encaissement d'honoraires devant revenir à la société.</w:t>
      </w:r>
    </w:p>
    <w:p>
      <w:r>
        <w:t>La cour cantonale en a conclu que le classeur de pièces comptables (comportant notamment les écritures passées sur le compte ouvert au nom propre de la recourante) et sa production, respectivement sa connaissance par l'Office des faillites, ne changeaient rien aux faits sur lesquels reposait la condamnation de la recourante - en particulier à son intention dolosive - et que ces éléments ne constituaient dès lors pas un moyen de preuve nouveau au sens de l' art. 410 al. 1 let. a CPP .</w:t>
      </w:r>
    </w:p>
    <w:p>
      <w:r>
        <w:t>En définitive, dans la mesure où il n'existait manifestement pas de motif de révision, la cour cantonale a déclaré la demande de révision irrecevable en application de l' art. 412 al. 2 CPP .</w:t>
      </w:r>
    </w:p>
    <w:p>
      <w:r>
        <w:rPr>
          <w:b/>
        </w:rPr>
        <w:t>E. 1.3</w:t>
      </w:r>
    </w:p>
    <w:p>
      <w:r>
        <w:t>La recourante oppose sa propre appréciation des faits à celle de la cour cantonale en tant qu'elle prétend que la connaissance par l'Office des faillites des documents invoqués, attesterait qu'elle n'avait jamais rien caché et que ce dernier l'aurait autorisée à procéder de la sorte. Largement appellatoire, son procédé est irrecevable ( art. 106 al. 2 LTF ).</w:t>
      </w:r>
    </w:p>
    <w:p>
      <w:r>
        <w:t>En tout état, la recourante échoue à démontrer que la cour cantonale aurait fait preuve d'arbitraire en retenant que ces éléments n'étaient pas propres à modifier l'état de fait retenu, étant établi qu'elle n'avait jamais eu l'intention de solder des créances qu'elle aurait eues contre la société avec les honoraires perçus et dissimulés. On ne voit pas en quoi le moyen invoqué serait susceptible d'ébranler les constatations de fait susmentionnées, le comportement reproché n'étant pas d'avoir omis de dévoiler le compte à l'Office des faillites. La cour cantonale pouvait donc sans arbitraire retenir que le classeur de pièces comptables et la connaissance de son contenu par l'Office des faillites ne représentait manifestement pas un moyen propre à modifier l'état de fait retenu, en particulier sous l'angle de l'intention de la recourante. Infondé, le grief de la recourante doit être rejeté.</w:t>
      </w:r>
    </w:p>
    <w:p>
      <w:r>
        <w:t>Pour le surplus, on peut s'interroger sur la validité du motif invoqué à l'appui de la production du classeur de comptabilité " retrouvé lors d'un déménagement " (cf. ATF 130 IV 72 consid. 2.2 p. 74; arrêts 6B_324/2019 du 24 avril 2019 consid. 3.2; 6B_415/2012 du 14 décembre 2012 consid. 2.3 s'agissant de l'abus de droit).</w:t>
      </w:r>
    </w:p>
    <w:p>
      <w:r>
        <w:rPr>
          <w:b/>
        </w:rPr>
        <w:t>E. 1.4</w:t>
      </w:r>
    </w:p>
    <w:p>
      <w:r>
        <w:t>Il n'y a pas lieu d'entrer en matière sur les griefs invoqués par la recourante se rapportant à la décision de condamnation (en lien avec l'aspect subjectif des infractions retenues), dès lors que celle-ci ne fait pas l'objet de la présente procédure.</w:t>
      </w:r>
    </w:p>
    <w:p>
      <w:r>
        <w:rPr>
          <w:b/>
        </w:rPr>
        <w:t>E. 2</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