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6B_1109/2016 vom 3. Oktober 2016</w:t>
      </w:r>
    </w:p>
    <w:p>
      <w:r>
        <w:t>Bundesgericht, 2016-10-03, DE</w:t>
      </w:r>
    </w:p>
    <w:p>
      <w:r>
        <w:rPr>
          <w:b/>
        </w:rPr>
        <w:t xml:space="preserve">Quelle: </w:t>
      </w:r>
      <w:r>
        <w:t>https://mcp.opencaselaw.ch/entscheid/bger_6B_1109_2016</w:t>
      </w:r>
    </w:p>
    <w:p>
      <w:r>
        <w:t>FR: TF 6B_1109/2016 du 3 octobre 2016</w:t>
      </w:r>
    </w:p>
    <w:p>
      <w:r>
        <w:t>IT: TF 6B_1109/2016 del 3 ottobre 2016</w:t>
      </w:r>
    </w:p>
    <w:p>
      <w:pPr>
        <w:pStyle w:val="Heading2"/>
      </w:pPr>
      <w:r>
        <w:t>Erwägungen</w:t>
      </w:r>
    </w:p>
    <w:p>
      <w:r>
        <w:rPr>
          <w:b/>
        </w:rPr>
        <w:t>E. 1</w:t>
      </w:r>
    </w:p>
    <w:p>
      <w:r>
        <w:t>Eine Beschwerde ist innert 30 Tagen nach der Eröffnung der vollständigen Ausfertigung des angefochtenen Entscheids beim Bundesgericht einzureichen ( Art. 100 Abs. 1 BGG ).</w:t>
      </w:r>
    </w:p>
    <w:p>
      <w:r>
        <w:t>Der angefochtene Entscheid ging am 24. August 2016 beim damaligen Rechtsvertreter des Beschwerdeführers ein. Die Beschwerde musste daher, um rechtzeitig zu sein, spätestens am 23. September 2016 (Freitag) beim Bundesgericht eingereicht oder zu dessen Handen der Schweizerischen Post übergeben werden ( Art. 48 BGG ).</w:t>
      </w:r>
    </w:p>
    <w:p>
      <w:r>
        <w:t>Die Beschwerde wurde jedoch erst am 28. September 2016 zur Post gebracht. Sie ist verspätet. Darauf ist im Verfahren nach Art. 108 BGG nicht einzutreten.</w:t>
      </w:r>
    </w:p>
    <w:p>
      <w:r>
        <w:rPr>
          <w:b/>
        </w:rPr>
        <w:t>E. 2</w:t>
      </w:r>
    </w:p>
    <w:p>
      <w:r>
        <w:t>Ausnahmsweise wird auf eine Kostenerhebung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