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6B_1109/2014 vom 4. Dezember 2014</w:t>
      </w:r>
    </w:p>
    <w:p>
      <w:r>
        <w:t>Bundesgericht, 2014-12-04, DE</w:t>
      </w:r>
    </w:p>
    <w:p>
      <w:r>
        <w:rPr>
          <w:b/>
        </w:rPr>
        <w:t xml:space="preserve">Quelle: </w:t>
      </w:r>
      <w:r>
        <w:t>https://mcp.opencaselaw.ch/entscheid/bger_6B_1109_2014</w:t>
      </w:r>
    </w:p>
    <w:p>
      <w:r>
        <w:t>FR: TF 6B_1109/2014 du 4 décembre 2014</w:t>
      </w:r>
    </w:p>
    <w:p>
      <w:r>
        <w:t>IT: TF 6B_1109/2014 del 4 dicembre 2014</w:t>
      </w:r>
    </w:p>
    <w:p>
      <w:pPr>
        <w:pStyle w:val="Heading2"/>
      </w:pPr>
      <w:r>
        <w:t>Erwägungen</w:t>
      </w:r>
    </w:p>
    <w:p>
      <w:r>
        <w:rPr>
          <w:b/>
        </w:rPr>
        <w:t>E. 1</w:t>
      </w:r>
    </w:p>
    <w:p>
      <w:r>
        <w:t>Der Beschwerdeführer behauptet, er habe das angefochtene Urteil am 14. Oktober 2014 erhalten. Dies trifft nicht zu. Gemäss Empfangsbestätigung der Post nahm er das Urteil am 10. Oktober 2014 in Empfang. Folglich lief die Beschwerdefrist von 30 Tagen am 10. November 2014 ab. Die Beschwerde, die das Datum vom 11. November 2014 trägt und am 14. November 2014 beim Bundesgericht einging, ist verspätet. Darauf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(vgl. Urteil 6B_683/2014 vom 5. August 2014 E. 3)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