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6B_1108/2014 vom 30. Januar 2015</w:t>
      </w:r>
    </w:p>
    <w:p>
      <w:r>
        <w:t>Bundesgericht, 2015-01-30, DE</w:t>
      </w:r>
    </w:p>
    <w:p>
      <w:r>
        <w:rPr>
          <w:b/>
        </w:rPr>
        <w:t xml:space="preserve">Quelle: </w:t>
      </w:r>
      <w:r>
        <w:t>https://mcp.opencaselaw.ch/entscheid/bger_6B_1108_2014</w:t>
      </w:r>
    </w:p>
    <w:p>
      <w:r>
        <w:t>FR: TF 6B_1108/2014 du 30 janvier 2015</w:t>
      </w:r>
    </w:p>
    <w:p>
      <w:r>
        <w:t>IT: TF 6B_1108/2014 del 30 gennaio 2015</w:t>
      </w:r>
    </w:p>
    <w:p>
      <w:pPr>
        <w:pStyle w:val="Heading2"/>
      </w:pPr>
      <w:r>
        <w:t>Erwägungen</w:t>
      </w:r>
    </w:p>
    <w:p>
      <w:r>
        <w:rPr>
          <w:b/>
        </w:rPr>
        <w:t>E. 1</w:t>
      </w:r>
    </w:p>
    <w:p>
      <w:r>
        <w:t>Der Beschwerdeführer erstattete am 11. April 2014 bei der Staatsanwaltschaft Zürich-Limmat Strafanzeige gegen unbekannte Mitarbeiter eines Sozialzentrums wegen Amtsmissbrauchs und weiterer Delikte. Er wirft den Beschuldigten vor, sie hätten ihm Sozialhilfegelder vorenthalten.</w:t>
      </w:r>
    </w:p>
    <w:p>
      <w:r>
        <w:t>Am 18. August 2014 nahm die Staatsanwaltschaft die Untersuchung nicht an die Hand. Eine dagegen gerichtete Beschwerde wies das Obergericht des Kantons Zürich am 7. Oktober 2014 ab.</w:t>
      </w:r>
    </w:p>
    <w:p>
      <w:r>
        <w:t>Der Beschwerdeführer wendet sich ans Bundesgericht und beantragt unter anderem, der Beschluss des Obergerichts sei aufzuheben.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6B_520/2013 vom 13. September 2013).</w:t>
      </w:r>
    </w:p>
    <w:p>
      <w:r>
        <w:t>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Die vom Beschwerdeführer gegen Mitarbeiter eines zürcherischen Sozialzentrums erhobenen strafrechtlichen Vorwürfe können allenfalls Staatshaftungsansprüche betreffen. Gegen die Mitarbeiter selber stehen ihm keine zivilrechtlichen Ansprüche zu. Er ist zur Beschwerde nicht legitimiert.</w:t>
      </w:r>
    </w:p>
    <w:p>
      <w:r>
        <w:rPr>
          <w:b/>
        </w:rPr>
        <w:t>E. 3</w:t>
      </w:r>
    </w:p>
    <w:p>
      <w:r>
        <w:t>Soweit der Beschwerdeführer auf seine Grundrechte und andere Verfassungsbestimmungen hinweist, können seine Vorbringen - soweit sie überhaupt den Anforderungen von Art. 106 Abs. 2 BGG genügen - nicht unabhängig von einer materiellen Prüfung der Sache beurteilt werden. Auf eine solche hat der Beschwerdeführer mangels Legitimation jedoch keinen Anspruch.</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