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6B_1104/2023 vom 19. März 2024</w:t>
      </w:r>
    </w:p>
    <w:p>
      <w:r>
        <w:t>Bundesgericht, 2024-03-19, DE</w:t>
      </w:r>
    </w:p>
    <w:p>
      <w:r>
        <w:rPr>
          <w:b/>
        </w:rPr>
        <w:t xml:space="preserve">Quelle: </w:t>
      </w:r>
      <w:r>
        <w:t>https://mcp.opencaselaw.ch/entscheid/bger_6B_1104_2023</w:t>
      </w:r>
    </w:p>
    <w:p>
      <w:r>
        <w:t>FR: TF 6B_1104/2023 du 19 mars 2024</w:t>
      </w:r>
    </w:p>
    <w:p>
      <w:r>
        <w:t>IT: TF 6B_1104/2023 del 19 marzo 2024</w:t>
      </w:r>
    </w:p>
    <w:p>
      <w:pPr>
        <w:pStyle w:val="Heading2"/>
      </w:pPr>
      <w:r>
        <w:t>Erwägungen</w:t>
      </w:r>
    </w:p>
    <w:p>
      <w:r>
        <w:rPr>
          <w:b/>
        </w:rPr>
        <w:t>E. 1</w:t>
      </w:r>
    </w:p>
    <w:p>
      <w:r>
        <w:t>Der Beschwerdeführer beanstandet die Landesverweisung.</w:t>
      </w:r>
    </w:p>
    <w:p>
      <w:r>
        <w:rPr>
          <w:b/>
        </w:rPr>
        <w:t>E. 1.1</w:t>
      </w:r>
    </w:p>
    <w:p>
      <w:r>
        <w:t>Er macht sowohl eine willkürliche Sachverhaltsfeststellung als auch eine falsche Rechtsanwendung von Art. 66a Abs. 2 StGB geltend. Zusammengefasst stellt er sich auf den Standpunkt, die Vorinstanz gewichte die öffentlichen Interessen an einer Landesverweisung zu Unrecht höher als die hohen privaten Interessen des Beschwerdeführers an einem Verbleib in der Schweiz.</w:t>
      </w:r>
    </w:p>
    <w:p>
      <w:r>
        <w:rPr>
          <w:b/>
        </w:rPr>
        <w:t>E. 1.2</w:t>
      </w:r>
    </w:p>
    <w:p>
      <w:r>
        <w:t>Die Vorinstanz bejaht zusammengefasst das Vorliegen eines schweren persönlichen Härtefalls i.S.v. Art. 66a Abs. 2 StGB sowie damit verbundene gewichtige private Interessen an einem Verbleib in der Schweiz. Sie erwägt allerdings, trotz langen Aufenthalts in der Schweiz sei er hierzulande weder besonders stark verwurzelt noch möge das Interesse an der Erhaltung seines Privat- und Familienlebens das erhebliche öffentliche Interesse an seiner Wegweisung zu überwiegen. Die Landesverweisung erweise sich infolge überwiegender öffentlicher Interessen sowohl unter dem Blickwinkel von Art. 66a Abs. 2 StGB als auch unter demjenigen von Art. 8 Ziff. 2 EMRK als verhältnismässig und rechtskonform, weshalb sie anzuordnen sei.</w:t>
      </w:r>
    </w:p>
    <w:p>
      <w:r>
        <w:rPr>
          <w:b/>
        </w:rPr>
        <w:t>E. 1.3</w:t>
      </w:r>
    </w:p>
    <w:p>
      <w:r>
        <w:t>Art. 66a Abs. 1 lit. b StGB sieht für Ausländer, die wegen schwerer Körperverletzung ( Art. 122 StGB ) verurteilt wurden, unabhängig von der Höhe der Strafe, die obligatorische Landesverweisung für 5-15 Jahre aus der Schweiz vor. Der Beschwerdeführer hat sich der versuchten schweren Körperverletzung i.S.v. Art. 122 i.V.m. Art. 22 Abs. 1 StGB schuldig gemacht, weshalb er als kosovarischer Staatsangehöriger grundsätzlich des Landes zu verweisen ist. Die obligatorische Landesverweisung wegen einer Katalogtat im Sinne von Art. 66a Abs. 1 StGB greift grundsätzlich unabhängig von der konkreten Tatschwere. Sie muss zudem unabhängig davon ausgesprochen werden, ob es beim Versuch geblieben ist und ob die Strafe bedingt, unbedingt oder teilbedingt ausfällt ( BGE 146 IV 105 E. 3.4.1; 144 IV 168 E. 1.4.1).</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rPr>
          <w:b/>
        </w:rPr>
        <w:t>E. 1.4.2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w:t>
      </w:r>
    </w:p>
    <w:p>
      <w:r>
        <w:rPr>
          <w:b/>
        </w:rPr>
        <w:t>E. 1.4.3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6B_1144/2021 vom 24. April 2023 E. 1.2.5; 6B_748/2021 vom 8. September 2021 E. 1.1.1; je mit Hinweisen).</w:t>
      </w:r>
    </w:p>
    <w:p>
      <w:r>
        <w:rPr>
          <w:b/>
        </w:rPr>
        <w:t>E. 1.4.4</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1.4.5</w:t>
      </w:r>
    </w:p>
    <w:p>
      <w:r>
        <w:t>Sind Kinder involviert, ist bei der Interessenabwägung als wesentliches Element zudem den Kindesinteressen und dem Kindeswohl Rechnung zu tragen ( BGE 143 I 21 E. 5.5.1; Urteile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6B_855/2020 vom 25. Oktober 2021 E. 3.3.2).</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(vgl. E. 1.4.4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6B_1114/2022 vom 11. Januar 2023 E. 4; 6B_1179/2021 vom 5. Mai 2023 E. 6.3.4; 6B_855/2020 vom 25. Oktober 2021 E. 3.3.1; je mit Hinweisen).</w:t>
      </w:r>
    </w:p>
    <w:p>
      <w:r>
        <w:rPr>
          <w:b/>
        </w:rPr>
        <w:t>E. 1.4.6</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148 IV 356 E. 2.1; 147 IV 73 E. 4.1.2).</w:t>
      </w:r>
    </w:p>
    <w:p>
      <w:r>
        <w:rPr>
          <w:b/>
        </w:rPr>
        <w:t>E. 1.5</w:t>
      </w:r>
    </w:p>
    <w:p>
      <w:r>
        <w:t>Der Beschwerdeführer rügt, es sei widersprüchlich, wenn die Vorinstanz einerseits einen schweren persönlichen Härtefall bejahe und andererseits festhalte, der Beschwerdeführer sei in der Schweiz nicht besonders stark verwurzelt. Für die Annahme des persönlichen Härtefalls sei gerade eine starke Verwurzelung verlangt. Damit verfalle die Vorinstanz in Willkür. Es gehe nicht an, den zuerst angenommenen persönlichen Härtefall im Rahmen der darauffolgenden Interessenabwägung wieder zu relativieren, um so diese privaten Interessen dem öffentlichen Interesse unterordnen zu können. Seine Vorbringen gehen - vorerst unter Willkürgesichtspunkten - fehl. Es ist nicht ersichtlich und wird von ihm auch nicht dargetan, inwieweit das Vorgehen der Vorinstanz offensichtlich falsch sei und sie in willkürlicher Weise von hohen öffentlichen Interessen ausgehe bzw. eine starke Verwurzelung verneine. Die Vorinstanz bejaht das Vorliegen eines schweren persönlichen Härtefalls und nimmt eine Interessenabwägung vor. Entgegen der Auffassung des Beschwerdeführers wird nicht der Härtefall relativiert, sondern werden die (gewichtigen) privaten Interessen den öffentlichen Interessen gegenübergestellt. So liegt im Umstand, dass die Vorinstanz zwar einen schweren persönlichen Härtefall annimmt, in der Folge aber eine besondere Verwurzelung verneint, kein Widerspruch, der die vorinstanzlichen Erwägungen als willkürlich auszuweisen vermag. Soweit er die Rechtsanwendung von Art. 66a Abs. 2 StGB bzw. Art. 8 Ziff. 1 EMRK rügt, ist darauf im Folgenden einzugehen.</w:t>
      </w:r>
    </w:p>
    <w:p>
      <w:r>
        <w:rPr>
          <w:b/>
        </w:rPr>
        <w:t>E. 1.6</w:t>
      </w:r>
    </w:p>
    <w:p>
      <w:r>
        <w:t>Die Vorinstanz bejaht einen schweren persönlichen Härtefall i.S.v. Art. 66a Abs. 2 StGB .</w:t>
      </w:r>
    </w:p>
    <w:p>
      <w:r>
        <w:rPr>
          <w:b/>
        </w:rPr>
        <w:t>E. 1.6.1</w:t>
      </w:r>
    </w:p>
    <w:p>
      <w:r>
        <w:t>Der Beschwerdeführer wurde 1981 im Kosovo geboren, wo er bis zur 4. Primarstufe die Schule besucht hat. Im Jahr 1992 reiste er im Alter von 11 Jahren in die Schweiz ein und absolvierte hier sämtliche verbleibenden Schuljahre der obligatorischen Schulzeit. Damit geht die Vorinstanz zutreffend davon aus, der Beschwerdeführer habe seine prägende Jugend- und Adoleszenzphase in der Schweiz verbracht und er gelte als in der Schweiz aufgewachsen im Sinne von Art. 66a Abs. 2 StGB . Zwar ist alleine gestützt auf eine lange Aufenthaltsdauer - in casu beinahe 28 Jahre - nicht automatisch von einem schweren persönlichen Härtefall auszugehen. Jedoch wird der besonderen Situation von in der Schweiz geborenen oder aufgewachsenen Ausländern dabei Rechnung getragen, indem eine längere Aufenthaltsdauer, zusammen mit einer guten Integration, in aller Regel als starke Indizien für ein gewichtiges Interesse an einem Verbleib in der Schweiz und damit für das Vorliegen eines Härtefalls zu werten sind. Bei der anschliessenden Interessenabwägung ist der betroffenen Person mit zunehmender Anwesenheitsdauer ein gewichtigeres privates Interesse an einem Verbleib in der Schweiz zuzubilligen ( BGE 146 IV 105 E. 3.4). Inwieweit die Vorinstanz in dieser Hinsicht die Aufenthaltsdauer nicht genügend in ihre Härtefallprüfung bzw. Interessenabwägung von Art. 66a Abs. 2 StGB habe einfliessen lassen, ist weder ersichtlich noch vom Beschwerdeführer begründet gerügt.</w:t>
      </w:r>
    </w:p>
    <w:p>
      <w:r>
        <w:rPr>
          <w:b/>
        </w:rPr>
        <w:t>E. 1.6.2</w:t>
      </w:r>
    </w:p>
    <w:p>
      <w:r>
        <w:t>Die Vorinstanz geht in beruflicher und wirtschaftlicher Hinsicht von einer leicht unter- bis durchschnittlichen Integration aus. Dabei stützt sie sich auf den Umstand, dass der Beschwerdeführer seine Lehre als Steinwerker zwar abgebrochen hat und dennoch bis zum Jahr 2017 ohne wesentliche Unterbrüche in den schweizerischen Arbeitsmarkt integriert war. Ob er seither tatsächlich arbeitsunfähig ist, erachtet die Vorinstanz als fraglich, lastet ihm dies aber nicht negativ an. Sozialhilfe hat er nie bezogen, jedoch liegen gegen ihn Betreibungen in der Höhe von Fr. 30'000.-- bis Fr. 35'000.-- vor. Der Beschwerdeführer wendet nichts dagegen ein.</w:t>
      </w:r>
    </w:p>
    <w:p>
      <w:r>
        <w:rPr>
          <w:b/>
        </w:rPr>
        <w:t>E. 1.6.3</w:t>
      </w:r>
    </w:p>
    <w:p>
      <w:r>
        <w:t>Die soziale und gesellschaftliche Integration des Beschwerdeführers in der Schweiz erachtet die Vorinstanz als eher unterdurchschnittlich. Er verstehe und spreche zwar Deutsch, halte sich aber überwiegend zuhause auf und habe keine Freunde. Sein soziales Beziehungsnetz bestehe und erschöpfe sich hauptsächlich in der Beziehung zu seiner Freundin, seiner Familie, seinen Eltern sowie den übrigen Verwandten; es sei primär auf den angestammten Kulturkreis beschränkt. Diese vorinstanzlichen Erwägungen sind nicht zu beanstanden und werden auch vom Beschwerdeführer nicht aufgegriffen.</w:t>
      </w:r>
    </w:p>
    <w:p>
      <w:r>
        <w:rPr>
          <w:b/>
        </w:rPr>
        <w:t>E. 1.6.4</w:t>
      </w:r>
    </w:p>
    <w:p>
      <w:r>
        <w:t>Zur familiären Situation erwägt die Vorinstanz, aus der heute rechtskräftig geschiedenen Ehe des Beschwerdeführers seien zwei Kinder (Jahrgang 2000 und 2003) hervorgegangen. Diese würden in der Schweiz leben und er pflege zu ihnen einen guten Kontakt. Diesbezüglich ist mit der Vorinstanz davon auszugehen, der Kontakt zu seinen volljährigen Kindern könne ohne Weiteres durch moderne Kommunikationsmittel und regelmässige Besuche im Kosovo aufrechterhalten werden.</w:t>
      </w:r>
    </w:p>
    <w:p>
      <w:r>
        <w:t>Gemäss den verbindlichen Feststellungen der Vorinstanz hat der Beschwerdeführer mit seiner Freundin B.________ eine Tochter, die im April 2023 zur Welt gekommen ist. Sowohl die Freundin als auch die Tochter verfügen über das Schweizer Bürgerrecht. Der Beschwerdeführer und seine Freundin sind nicht verheiratet und leben in separaten Wohnungen. Der Beschwerdeführer vermag diesbezüglich keine Willkür aufzuzeigen, wenn er ohne nähere Begründung rügt, die Vorinstanz habe ausser Acht gelassen, dass er 80 % bei seiner Freundin lebe und faktisch mit ihr zusammenwohne und es sei geplant, dass er "auf die Tochter schaue, wenn die Mutter arbeite". Die beiden haben gemäss den Feststellungen der Vorinstanz die gemeinsame Sorge über die Tochter, die Obhut liegt aber allein bei deren Mutter. Die Sorge- und Obhutsrechtsregelung gilt es zu berücksichtigen (vgl. oben E. 1.4.2). Wie der Beschwerdeführer selbst zutreffend ausführt, nimmt die Vorinstanz einen schweren persönlichen Härtefall an und geht von einem damit verbundenen gewichtigen privaten Interesse des Beschwerdeführers an einem Verbleib in der Schweiz aus. Dennoch durfte die Vorinstanz diese Interessen dadurch relativieren, dass die gemeinsame Tochter erst nach Eröffnung des erstinstanzlichen Urteils und somit in Kenntnis der erstinstanzlich angeordneten Landesverweisung und in vollstem Bewusstsein um die damit verbundenen ausländerrechtlichen Folgen gezeugt wurde. Für die Frage, ob der Eingriff in das Recht auf Achtung des Familienlebens "notwendig" im Sinne von Art. 8 Ziff. 2 EMRK ist, gilt es auch eine allfällige Kenntnis des Ehegatten von der Straftat zu Beginn der familiären Bindung miteinzubeziehen (vgl. Urteil 6B_855/2020 vom 25. Oktober 2021 E. 3.3.1 mit Hinweisen; vgl. oben E. 1.4.5). Entgegen der Auffassung des Beschwerdeführers ist zudem gestützt darauf, dass sowohl seine Partnerin als auch seine Tochter das Schweizer Bürgerrecht besitzen, das Verschieben des Familienlebens ins Ausland keinesfalls per se unzumutbar (vgl. oben E. 1.4.5). Insgesamt vermag der Beschwerdeführer nicht aufzuzeigen und es ist nicht ersichtlich, inwieweit die Vorinstanz die (gewichtigen) Interessen des Beschwerdeführers in familiärer Hinsicht nicht genügend in ihre Härtefallprüfung miteinbezogen oder seine familiäre Situation in der Interessenabwägung falsch gewichtet haben soll. Es reicht nicht aus vorzubringen, die Vorinstanz sei ihrer Abwägungspflicht nicht ansatzweise nachgekommen. Der Vorinstanz ist darin zuzustimmen, wonach das Recht auf Achtung des Familienlebens des Beschwerdeführers i.S.v. Art. 8 Ziff. 2 EMRK einer Landesverweisung nicht entgegenstehe.</w:t>
      </w:r>
    </w:p>
    <w:p>
      <w:r>
        <w:rPr>
          <w:b/>
        </w:rPr>
        <w:t>E. 1.6.5</w:t>
      </w:r>
    </w:p>
    <w:p>
      <w:r>
        <w:t>Zu den Wiedereingliederungsmöglichkeiten des Beschwerdeführers in seinem Heimatland Kosovo hält die Vorinstanz fest, der Beschwerdeführer spreche Albanisch als Muttersprache. Es bestehe zudem eine familiäre Bindung zum Kosovo, da immerhin ein Onkel noch dort wohnhaft sei. Nach eigenen Angaben habe der Beschwerdeführer im Kosovo dauerhaft ein Auto besessen, weshalb davon auszugehen sei, dass er sein Heimatland auch regelmässig besuche. Demnach geht die Vorinstanz zu Recht davon aus, neben der Sprache sei er auch mit der dortigen Kultur und den Gepflogenheiten vertraut. An den vorinstanzlichen Ausführungen, wonach ihm ein Neuanfang zuzumuten sei und die Chancen auch in beruflicher Hinsicht zumindest nicht schlechter als in der Schweiz stehen würden, gibt es nichts auszusetzen. Der Beschwerdeführer setzt sich denn auch nicht begründet damit auseinander.</w:t>
      </w:r>
    </w:p>
    <w:p>
      <w:r>
        <w:rPr>
          <w:b/>
        </w:rPr>
        <w:t>E. 1.6.6</w:t>
      </w:r>
    </w:p>
    <w:p>
      <w:r>
        <w:t>Insgesamt setzt sich die Vorinstanz nachvollziehbar und begründet mit den privaten Interessen des Beschwerdeführers am Verbleib in der Schweiz auseinander und berücksichtigt dabei die massgebenden Kriterien (vgl. oben E. 1.4). Die Vorinstanz bejaht einen schweren persönlichen Härtefall, relativiert die (teilweise gewichtigen) privaten Interessen anlässlich der vorgenommenen Interessenabwägung aber zu Recht. Die Rüge des Beschwerdeführers geht diesbezüglich fehl.</w:t>
      </w:r>
    </w:p>
    <w:p>
      <w:r>
        <w:rPr>
          <w:b/>
        </w:rPr>
        <w:t>E. 1.7</w:t>
      </w:r>
    </w:p>
    <w:p>
      <w:r>
        <w:t>Der Beschwerdeführer wendet sich insbesondere gegen die vorinstanzlichen Erwägungen zum öffentlichen Interesse an einer Landesverweisung. Soweit er sich dabei auf seine als willkürlich gerügte Sachverhaltsfeststellung bezieht, ist darauf nicht näher einzugehen (vgl. oben E. 1.4.6, 1.5).</w:t>
      </w:r>
    </w:p>
    <w:p>
      <w:r>
        <w:rPr>
          <w:b/>
        </w:rPr>
        <w:t>E. 1.7.1</w:t>
      </w:r>
    </w:p>
    <w:p>
      <w:r>
        <w:t>Der Beschwerdeführer scheint davon auszugehen, die öffentlichen Interessen würden bereits bei der Härtefallprüfung der Vorinstanz als Bewertungsmassstab dienen. Diese Auffassung trifft nicht zu. Die Vorinstanz bejaht das Vorliegen eines schweren persönlichen Härtefalls anhand der massgebenden Kriterien (vgl. E. 1.6 oben). In ihrer Interessenabwägung gewichtet sie die privaten Interessen entsprechend auch hoch. Diese stellt sie den öffentlichen Interessen an einer Landesverweisung gegenüber. Die Rüge des Beschwerdeführers geht, soweit überhaupt rechtsgenüglich begründet, fehl. Hätte die Vorinstanz bereits einen schweren persönlichen Härtefall verneint, so würde sich eine Interessenabwägung erübrigen.</w:t>
      </w:r>
    </w:p>
    <w:p>
      <w:r>
        <w:rPr>
          <w:b/>
        </w:rPr>
        <w:t>E. 1.7.2</w:t>
      </w:r>
    </w:p>
    <w:p>
      <w:r>
        <w:t>Die Vorinstanz berücksichtigt zu Recht die diversen Vorstrafen des Beschwerdeführers. Dieser wurde seit 2013 wegen Widerhandlung gegen das Waffengesetz, Widerhandlung gegen das Arbeitslosenversicherungsgesetz, Fahrens ohne Berechtigung, erneut Widerhandlung gegen das Waffengesetz, Übertretung des Spielbankengesetzes sowie Fahrens in fahrunfähigem Zustand verurteilt. Die Vorinstanz führt zudem aus, der Beschwerdeführer sei am 14. Februar 2011 zu einer unbedingten Freiheitsstrafe von 9 Monaten wegen einfacher Körperverletzung, Drohung, Hausfriedensbruch sowie Widerhandlungen gegen das Waffengesetz verurteilt worden. Im Februar 2020 sei er wegen Verdachts der Widerhandlung gegen das Betäubungsmittelgesetz vorläufig festgenommen und wieder entlassen worden. Dennoch habe er sich trotz hängiger Strafuntersuchung bereits im Mai 2020 erneut strafbar gemacht. Der Vorinstanz ist zuzustimmen, dass sich aus den bisherigen Verurteilungen eine eigentliche Unbelehrbarkeit sowie Gleichgültigkeit des Beschwerdeführers gegenüber der hiesigen Rechtsordnung offenbart. Wenn der Beschwerdeführer dagegen lediglich vorbringt, er habe zuvor keine derartigen Straftaten und auch keine anderen Katalogtaten für die Landesverweisung begangen, so kann er daraus nichts für sich ableiten.</w:t>
      </w:r>
    </w:p>
    <w:p>
      <w:r>
        <w:t>Wenn der Beschwerdeführer zudem geltend macht, die unbedingte Freiheitsstrafe werde Spuren hinterlassen und zudem sei der Geschädigte nicht eine beliebige Person gewesen, sondern dieser habe dem Beschwerdeführer damals Stunden zuvor selbst einen Faustschlag verpasst, so legt er seine eigene Sicht der Dinge dar, ohne sich dabei mit den nachvollziehbaren Erwägungen der Vorinstanz auseinanderzusetzen ( Art. 42 Abs. 2 BGG ). Inwieweit dies die öffentlichen Interessen relativieren sollte und die Vorinstanz diese Interessen falsch gewichtet hätte, vermag er damit jedenfalls nicht darzutun. Im Übrigen ist mit der Vorinstanz angesichts der zahlreichen Chancen auf Legalbewährung, die dem Beschwerdeführer bereits gewährt wurden, nicht ersichtlich, inwiefern er nun seine Lektion gelernt haben soll. Miteinzufliessen hat schliesslich auch der Umstand, dass der Beschwerdeführer mit seinem Verhalten in die körperliche Unversehrtheit und damit in ein hohes Rechtsgut eingegriffen hat. Die Vorinstanz geht zu Recht von einer schlechten Legalprognose und einer hohen Gefährlichkeit des Beschwerdeführers aus.</w:t>
      </w:r>
    </w:p>
    <w:p>
      <w:r>
        <w:rPr>
          <w:b/>
        </w:rPr>
        <w:t>E. 1.8</w:t>
      </w:r>
    </w:p>
    <w:p>
      <w:r>
        <w:t>Insgesamt durfte die Vorinstanz von einem überwiegenden öffentlichen Interesse an einer Landesverweisung ausgehen. Die angeordnete Landesverweisung erweist sich als bundes- und völkerrechtskonform. Die Beschwerde erweist sich auch in diesem Punkt als unbegründet, soweit darauf eingetreten werden kann.</w:t>
      </w:r>
    </w:p>
    <w:p>
      <w:r>
        <w:rPr>
          <w:b/>
        </w:rPr>
        <w:t>E. 1.9</w:t>
      </w:r>
    </w:p>
    <w:p>
      <w:r>
        <w:t>Der Beschwerdeführer äussert sich weder zur Dauer der Landesverweisung von zehn Jahren noch zur Ausschreibung im SIS. Auf die vorinstanzlichen Erwägungen braucht in dieser Hinsicht nicht eingegangen zu werden.</w:t>
      </w:r>
    </w:p>
    <w:p>
      <w:r>
        <w:rPr>
          <w:b/>
        </w:rPr>
        <w:t>E. 2</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