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6B_1103/2013 vom 7. Mai 2014</w:t>
      </w:r>
    </w:p>
    <w:p>
      <w:r>
        <w:t>Bundesgericht, 2014-05-07, FR</w:t>
      </w:r>
    </w:p>
    <w:p>
      <w:r>
        <w:rPr>
          <w:b/>
        </w:rPr>
        <w:t xml:space="preserve">Quelle: </w:t>
      </w:r>
      <w:r>
        <w:t>https://mcp.opencaselaw.ch/entscheid/bger_6B_1103_2013</w:t>
      </w:r>
    </w:p>
    <w:p>
      <w:r>
        <w:t>FR: TF 6B_1103/2013 du 7 mai 2014</w:t>
      </w:r>
    </w:p>
    <w:p>
      <w:r>
        <w:t>IT: TF 6B_1103/2013 del 7 maggio 2014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1.2</w:t>
      </w:r>
    </w:p>
    <w:p>
      <w:r>
        <w:t>Le recourant indique que l'ordonnance de classement a une incidence négative sur les prétentions qu'il entend faire valoir ultérieurement sur le plan civil, à savoir la réparation du dommage économique subi (les frais médicaux, la perte de gain due à l'interruption du travail et le préjudice résultant de séquelles éventuelles) ainsi que le versement d'une indemnité équitable à titre de réparation morale. Au vu des blessures subies, en particulier la perforation du tympan, on peut admettre qu'il satisfait aux exigences précitées. Dans ces conditions, il y a lieu de lui reconnaître la qualité pour agir sur la base de l'art. 81 al. 1 let. b ch. 5 LTF.</w:t>
      </w:r>
    </w:p>
    <w:p>
      <w:r>
        <w:rPr>
          <w:b/>
        </w:rPr>
        <w:t>E. 1.3</w:t>
      </w:r>
    </w:p>
    <w:p>
      <w:r>
        <w:t>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Invoquant une violation de l' art. 319 al. 1 CPP et du principe</w:t>
      </w:r>
    </w:p>
    <w:p>
      <w:r>
        <w:t>in dubio pro duriore , le recourant fait grief à la juridiction cantonale d'avoir ordonné le classement de la procédure de façon prématurée.</w:t>
      </w:r>
    </w:p>
    <w:p>
      <w:r>
        <w:rPr>
          <w:b/>
        </w:rPr>
        <w:t>E. 2.1.1</w:t>
      </w:r>
    </w:p>
    <w:p>
      <w:r>
        <w:t>Selon l' art. 319 al. 1 CPP , le ministère public ordonne le classement de tout ou partie de la procédure notamment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rPr>
          <w:b/>
        </w:rPr>
        <w:t>E. 2.1.2</w:t>
      </w:r>
    </w:p>
    <w:p>
      <w:r>
        <w:t>Selon la jurisprudence, cette disposition doit être appliquée conformément à l'adage</w:t>
      </w:r>
    </w:p>
    <w:p>
      <w:r>
        <w:t>in dubio pro duriore . Celui-ci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w:t>
      </w:r>
    </w:p>
    <w:p>
      <w:r>
        <w:rPr>
          <w:b/>
        </w:rPr>
        <w:t>E. 2.2</w:t>
      </w:r>
    </w:p>
    <w:p>
      <w:r>
        <w:t>La juridiction cantonale a considéré que c'était à bon droit que la plainte pénale du recourant avait été classée. Si, comme le soutient l'intimé, certaines blessures avaient pu être faites lors de l'abattage et du transport des branches et d'autres lors de la chute et heurt de la tête contre le goudron, il était vrai que quelques-unes semblaient difficilement explicables si ce n'est par un ou des coups qu'il aurait assénés. Cependant, au vu des circonstances, auxquelles s'ajoutaient les tensions existantes depuis environ un quart de siècle entre les protagonistes, il convenait de retenir un état de légitime défense excusable de chacun des intervenants ( art. 15 CP ). Par ailleurs, dans la mesure où l'accident était survenu en l'absence de tous témoins directs, la juridiction cantonale peinait à voir quel complément d'enquête était susceptible de départager les protagonistes et de lever les doutes existant sur le déroulement des faits. A l'instar du Ministère public, il fallait constater que la mise en oeuvre d'une expertise médicale tendant à déterminer la cause des lésions subies (chute, coups, branches, etc.) ne permettrait pas d'établir si l'intimé avait eu un comportement pénalement répréhensible, à savoir s'il avait frappé volontairement le recourant pour le blesser, ou s'il avait eu des gestes brusques ou avait porté des coups dans le feu de l'action, dans un but de défense. Quel que fût le contexte tendu des relations entre les parties, aucun soupçon suffisamment consistant n'avait pu être établi, de sorte qu'un acquittement de l'intimé apparaissait plus vraisemblable que sa condamnation.</w:t>
      </w:r>
    </w:p>
    <w:p>
      <w:r>
        <w:rPr>
          <w:b/>
        </w:rPr>
        <w:t>E. 2.3</w:t>
      </w:r>
    </w:p>
    <w:p>
      <w:r>
        <w:t>Du point de vue du recourant, l'arrêt cantonal retient implicitement la version la plus favorable au prévenu. Or, au stade du classement, une telle application du principe</w:t>
      </w:r>
    </w:p>
    <w:p>
      <w:r>
        <w:t>in dubio pro reo ne se justifie pas. La cause soulève des questions de fait (notamment l'origine possible des lésions subies) et de droit (notamment la question de la légitime défense et de la proportionnalité du comportement de l'intimé). Il n'est dès lors pas possible de retenir qu'il n'existe aucun soupçon justifiant une mise en accusation ou que les éléments constitutifs d'une infraction ne sont manifestement pas réunis. Eu égard à la gravité des faits et au droit à une enquête effective et, le cas échéant, à une procédure judiciaire, la décision de classement doit être annulée, selon le recourant.</w:t>
      </w:r>
    </w:p>
    <w:p>
      <w:r>
        <w:rPr>
          <w:b/>
        </w:rPr>
        <w:t>E. 2.4</w:t>
      </w:r>
    </w:p>
    <w:p>
      <w:r>
        <w:t>En l'état du dossier, compte tenu des versions divergentes des parties, on peut effectivement se demander si la juridiction cantonale disposait des éléments suffisants pour s'exprimer sur la question de l'existence d'un état de légitime défense excusable de chacun des intervenants. Cette question peut néanmoins demeurer indécise. Le recourant perd de vue que le problème principal posé par le dossier - clairement mis en évidence par le Ministère public - réside dans l'impossibilité de pouvoir établir le déroulement précis des événements qui ont conduit aux blessures. S'il semble en effet plausible que des coups aient été assénés au visage du recourant, rien ne permet d'établir, en l'absence de témoins directs des événements, que ceux-ci l'ont été dans le cadre d'une agression délibérée plutôt que dans le cadre d'une bousculade. A l'instar de la juridiction cantonale, on peine à voir ce que la mesure d'instruction suggérée par le recourant (expertise médicale) serait en mesure d'établir. Au regard du contexte conflictuel dans lequel s'inscrivent les faits litigieux, les seules déclarations du recourant - nécessairement contestées par l'intimé - ne sauraient suffire pour démontrer qu'une condamnation de l'intimé serait plus vraisemblable que son acquittement. L'appréciation à laquelle la Chambre pénale a procédé en confirmant l'ordonnance de classement rendue par le Ministère public ne viole pas dans son résultat le droit fédéral.</w:t>
      </w:r>
    </w:p>
    <w:p>
      <w:r>
        <w:rPr>
          <w:b/>
        </w:rPr>
        <w:t>E. 3</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