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10/2019 vom 15. Februar 2019</w:t>
      </w:r>
    </w:p>
    <w:p>
      <w:r>
        <w:t>Bundesgericht, 2019-02-15, DE</w:t>
      </w:r>
    </w:p>
    <w:p>
      <w:r>
        <w:rPr>
          <w:b/>
        </w:rPr>
        <w:t xml:space="preserve">Quelle: </w:t>
      </w:r>
      <w:r>
        <w:t>https://mcp.opencaselaw.ch/entscheid/bger_6B_10_2019</w:t>
      </w:r>
    </w:p>
    <w:p>
      <w:r>
        <w:t>FR: TF 6B 10/2019 du 15 février 2019</w:t>
      </w:r>
    </w:p>
    <w:p>
      <w:r>
        <w:t>IT: TF 6B 10/2019 del 15 febbraio 2019</w:t>
      </w:r>
    </w:p>
    <w:p>
      <w:pPr>
        <w:pStyle w:val="Heading2"/>
      </w:pPr>
      <w:r>
        <w:t>Regeste</w:t>
      </w:r>
    </w:p>
    <w:p>
      <w:r>
        <w:t>Verletzung von Verkehrsregeln | Straftaten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als gegenstandslos geworden vom Geschäftsverzeichnis abgeschrieben.</w:t>
      </w:r>
    </w:p>
    <w:p>
      <w:r>
        <w:rPr>
          <w:b/>
        </w:rPr>
        <w:t>E. 2</w:t>
      </w:r>
    </w:p>
    <w:p>
      <w:r>
        <w:t>Es werden keine Kosten erhoben.</w:t>
      </w:r>
    </w:p>
    <w:p>
      <w:r>
        <w:rPr>
          <w:b/>
        </w:rPr>
        <w:t>E. 3</w:t>
      </w:r>
    </w:p>
    <w:p>
      <w:r>
        <w:t>Diese Verfügung wird den Parteien und dem Obergericht des Kantons Schaffhausen schriftlich mitgeteilt. Lausanne, 15. Februar 2019 Im Namen der Strafrechtlichen Abteilung des Schweizerischen Bundesgerichts Der Präsident: Denys Die Gerichtsschreiberin: Arquint Hill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