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6B_109/2015 vom 20. August 2015</w:t>
      </w:r>
    </w:p>
    <w:p>
      <w:r>
        <w:t>Bundesgericht, 2015-08-20, DE</w:t>
      </w:r>
    </w:p>
    <w:p>
      <w:r>
        <w:rPr>
          <w:b/>
        </w:rPr>
        <w:t xml:space="preserve">Quelle: </w:t>
      </w:r>
      <w:r>
        <w:t>https://mcp.opencaselaw.ch/entscheid/bger_6B_109_2015</w:t>
      </w:r>
    </w:p>
    <w:p>
      <w:r>
        <w:t>FR: TF 6B_109/2015 du 20 août 2015</w:t>
      </w:r>
    </w:p>
    <w:p>
      <w:r>
        <w:t>IT: TF 6B_109/2015 del 20 agosto 2015</w:t>
      </w:r>
    </w:p>
    <w:p>
      <w:pPr>
        <w:pStyle w:val="Heading2"/>
      </w:pPr>
      <w:r>
        <w:t>Erwägungen</w:t>
      </w:r>
    </w:p>
    <w:p>
      <w:r>
        <w:rPr>
          <w:b/>
        </w:rPr>
        <w:t>E. 1.1</w:t>
      </w:r>
    </w:p>
    <w:p>
      <w:r>
        <w:t>Beim angefochtenen Entscheid handelt es sich um einen Zwischenentscheid, welcher das Verfahren nicht abschliesst. Gegen selbstständig eröffnete Zwischenentscheide, die weder die Zuständigkeit noch den Ausstand betreffen, ist die Beschwerde gemäss Art. 93 Abs. 1 BGG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 BGE 139 IV 113 E. 1 mit Hinweis). Die Ausnahme ist restriktiv zu handhaben, zumal die Parteien keine Rechte verlieren, wenn sie einen Zwischenentscheid im Sinne von Art. 93 BGG nicht selbstständig anfechten, da sie ihn mit dem Endentscheid anfechten können, soweit er sich auf dessen Inhalt auswirkt ( Art. 93 Abs. 3 BGG ; BGE 140 V 321 E. 3.6; 133 IV 288 E. 3.2). Es obliegt dem Beschwerdeführer, detailliert darzutun, dass die Voraussetzungen von Art. 93 Abs. 1 BGG erfüllt sind, soweit deren Vorliegen nicht offensichtlich ist ( BGE 138 III 46 E. 1.2; Urteil 6B_321/2014 vom 7. Juli 2014 E. 1.1; je mit Hinweisen).</w:t>
      </w:r>
    </w:p>
    <w:p>
      <w:r>
        <w:rPr>
          <w:b/>
        </w:rPr>
        <w:t>E. 1.2</w:t>
      </w:r>
    </w:p>
    <w:p>
      <w:r>
        <w:t>Der Beschwerdeführer bringt vor, durch die Feststellung der Verjährung der ihm vorgeworfenen Straftaten könnte sofort ein Endentscheid herbeigeführt und ein bedeutender Aufwand an Zeit oder Kosten für ein weitläufiges Beweisverfahren erspart werden. Andernfalls würde in falscher Anwendung des Rechts ein Verfahren weitergeführt, ohne dass die Prozessvoraussetzungen erfüllt seien. Der angefochtene Zwischenentscheid bewirke deshalb einen nicht wieder gutzumachenden Nachteil.</w:t>
      </w:r>
    </w:p>
    <w:p>
      <w:r>
        <w:rPr>
          <w:b/>
        </w:rPr>
        <w:t>E. 1.3</w:t>
      </w:r>
    </w:p>
    <w:p>
      <w:r>
        <w:t>Nach der Rechtsprechung muss der nicht wieder gutzumachende Nachteil im Sinne von Art. 93 Abs. 1 lit. a BGG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137 III 380 E. 1.2.1; je mit Hinweisen). Inwiefern dem Beschwerdeführer durch die Rückweisung der Sache an das Bezirksgericht ein Nachteil rechtlicher Natur drohen oder entstehen sollte, legt er nicht dar. Dies ist auch nicht ersichtlich. Der Beschwerdeführer kann die Frage der Verjährung bei Vorliegen eines verfahrensabschliessenden kantonalen Entscheids ohne Rechtsnachteil erneut aufwerfen.</w:t>
      </w:r>
    </w:p>
    <w:p>
      <w:r>
        <w:t>Der Beschwerdeführer weist ebenfalls nicht nach, dass die Voraussetzungen von Art. 93 Abs. 1 lit. b BGG erfüllt sind. Zwar könnte sofort ein Endentscheid herbeigeführt werden, wenn das Bundesgericht im vorliegenden Fall die Beschwerde gutheissen und die Verjährung bejahen würde. Art. 93 Abs. 1 lit. b BGG verlangt jedoch darüber hinaus, dass durch dieses Vorgehen ein bedeutender Aufwand an Zeit oder Kosten für ein weitläufiges Beweisverfahreneingespart würde. Diese Voraussetzung wird im Strafverfahren restriktiv ausgelegt ( BGE 133 IV 288 E. 3.2; Urteile 6B_544/2015 vom 23. Juli 2015 E. 1.3; 6B_376/2014 vom 22. Oktober 2014 E. 1.3; je mit Hinweisen). Inwiefern vorliegend aufgrund der Rückweisung der Sache an das Bezirksgericht ein weitläufiges, zeit- oder kostenintensives Beweisverfahren drohen sollte, zeigt der Beschwerdeführer nicht auf. Ein solches ist auch nicht - jedenfalls nicht offensichtlich - zu erwarten, zumal das Bezirksgericht das dem Beschwerdeführer vorgeworfene Verhalten bereits einmal materiell beurteilt hat.</w:t>
      </w:r>
    </w:p>
    <w:p>
      <w:r>
        <w:rPr>
          <w:b/>
        </w:rPr>
        <w:t>E. 2</w:t>
      </w:r>
    </w:p>
    <w:p>
      <w:r>
        <w:t>Die Voraussetzungen von Art. 93 Abs. 1 BGG sind nicht erfüllt, weshalb auf die Beschwerde nicht einzutreten ist. Der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