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6B_1099/2019 vom 16. Dezember 2020</w:t>
      </w:r>
    </w:p>
    <w:p>
      <w:r>
        <w:t>Bundesgericht, 2020-12-16, DE</w:t>
      </w:r>
    </w:p>
    <w:p>
      <w:r>
        <w:rPr>
          <w:b/>
        </w:rPr>
        <w:t xml:space="preserve">Quelle: </w:t>
      </w:r>
      <w:r>
        <w:t>https://mcp.opencaselaw.ch/entscheid/bger_6B_1099_2019</w:t>
      </w:r>
    </w:p>
    <w:p>
      <w:r>
        <w:t>FR: TF 6B_1099/2019 du 16 décembre 2020</w:t>
      </w:r>
    </w:p>
    <w:p>
      <w:r>
        <w:t>IT: TF 6B_1099/2019 del 16 dicembre 2020</w:t>
      </w:r>
    </w:p>
    <w:p>
      <w:pPr>
        <w:pStyle w:val="Heading2"/>
      </w:pPr>
      <w:r>
        <w:t>Erwägungen</w:t>
      </w:r>
    </w:p>
    <w:p>
      <w:r>
        <w:rPr>
          <w:b/>
        </w:rPr>
        <w:t>E. 1</w:t>
      </w:r>
    </w:p>
    <w:p>
      <w:r>
        <w:t>Die Privatklägerschaft ist zur Beschwerde in Strafsachen grundsätzlich nur berechtigt, wenn sich der angefochtene Entscheid auf die Beurteilung allfälliger, ihr durch die Straftat entstandener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Der Beschwerdeführer äussert sich nicht zu seiner Legitimation als Privatkläger und zeigt nicht auf, inwieweit der angefochtene Entscheid sich auf allfällige Zivilforderungen auswirken könnte ( Art. 42 Abs. 2 BGG ). Dies ist auch nicht ersichtlich. Zivilforderungen im Sinne von Art. 81 Abs. 1 lit. b Ziff. 5 BGG sind unmittelbar aus der Straftat resultierende und vor den Zivilgerichten geltend zu machende Ansprüche, in erster Linie auf Schadenersatz und Genugtuung gemäss Art. 41 ff. OR (vgl. BGE 141 IV 1 E. 1.1 S. 4). Öffentlich-rechtliche Ansprüche, auch solche aus Staatshaftung, können hingegen nicht adhäsionsweise im Strafprozess geltend gemacht werden und fallen nicht unter Art. 81 Abs. 1 lit. b Ziff. 5 BGG ( BGE 146 IV 76 E. 3.1 S. 82 f.; Urteile 6B_1189/2020 vom 16. November 2020 E. 2.1; 6B_1324/2018 vom 22. März 2019 E. 5.1; je mit Hinweisen).</w:t>
      </w:r>
    </w:p>
    <w:p>
      <w:r>
        <w:t>Die vom Beschwerdeführer erhobenen Vorwürfe richten sich gegen ein Mitglied des Kantonsgerichts Wallis. Gemäss Art. 4 Abs. 1 des Gesetzes des Kantons Wallis vom 10. Mai 1978 über die Verantwortlichkeit der öffentlichen Gemeinwesen und ihrer Amtsträger (SGS 170.1) haften der Staat und die Gemeinden für den Schaden, den ein Amtsträger in Ausübung seiner amtlichen Tätigkeit einem Dritten widerrechtlich zufügt. Der Amtsträger ist gegenüber Dritten nicht persönlich verpflichtet den Schaden zu ersetzen (Art. 5 des vorgenannten Gesetzes). Allfällige Ansprüche des Beschwerdeführers wären daher öffentlich-rechtlicher Natur. Folglich ist er in der Sache nicht beschwerdelegitimiert.</w:t>
      </w:r>
    </w:p>
    <w:p>
      <w:r>
        <w:rPr>
          <w:b/>
        </w:rPr>
        <w:t>E. 2</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S. 79; 141 IV 1 E. 1.1 S. 5; je mit Hinweisen).</w:t>
      </w:r>
    </w:p>
    <w:p>
      <w:r>
        <w:t>Der Beschwerdeführer sieht seinen Anspruch gemäss Art. 30 Abs. 1 BV auf ein verfassungsmässiges Gericht verletzt, da der Einzelrichter, welcher die angefochtene Verfügung erlassen habe, nicht Mitglied der strafrechtlichen Abteilungen des Kantonsgerichts Wallis sei. Dabei handelt es sich um eine Rüge formeller Natur, zu deren Erhebung der Beschwerdeführer legitimiert ist.</w:t>
      </w:r>
    </w:p>
    <w:p>
      <w:r>
        <w:t>Ob ein Gericht in ordnungsgemässer Zusammensetzung entschieden hat, beurteilt sich in erster Linie nach dem einschlägigen kantonalen Organisations- und Verfahrensrecht, dessen Auslegung und Anwendung das Bundesgericht - von hier nicht relevanten Ausnahmen abgesehen - nur unter dem Gesichtswinkel der Willkür prüft ( Art. 95 BGG ; BGE 141 IV 305 E. 1.2 S. 308 f. mit Hinweisen). Demgegenüber prüft es frei, ob die willkürfreie Anwendung des kantonalen Rechts mit dem verfassungsmässigen Anspruch auf ein gesetzmässiges Gericht im Einklang steht ( BGE 131 I 31 E. 2.1.2.1 S. 34 f. mit Hinweisen; Urteile 6B_671/2018 vom 15. Oktober 2019 E. 1.3.4; 1B_311/2016 vom 10. Oktober 2016 E. 2.2).</w:t>
      </w:r>
    </w:p>
    <w:p>
      <w:r>
        <w:t>Der Beschwerdeführer bringt zur Begründung seiner Rüge einzig vor, der fragliche Richter sei zum Zeitpunkt der vorinstanzlichen Verfügung nicht Mitglied einer Abteilung gewesen, die strafrechtliche Beschwerden zu beurteilen vermöge und dürfe. Um den Begründungsanforderungen zu genügen, müsste er jedoch die einschlägigen Normen des kantonalen Organisations- und Verfahrensrechts darlegen und aufzeigen, dass deren willkürliche Anwendung zur Verletzung seines Anspruchs auf ein verfassungsmässiges Gericht führt. Diesen Begründungsanforderungen kommt der Beschwerdeführer in seiner Beschwerde nicht nach, weshalb darauf auch in diesem Punkt nicht einzutreten ist.</w:t>
      </w:r>
    </w:p>
    <w:p>
      <w:r>
        <w:rPr>
          <w:b/>
        </w:rPr>
        <w:t>E. 3</w:t>
      </w:r>
    </w:p>
    <w:p>
      <w:r>
        <w:t>Auf die Beschwerde ist im Verfahren nach Art. 109 BGG nicht einzutreten. Ausgangsgemäss sind die Gerichtskosten dem Beschwerdeführer aufzuerlegen.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