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1097/2023 vom 28. März 2024</w:t>
      </w:r>
    </w:p>
    <w:p>
      <w:r>
        <w:t>Bundesgericht, 2024-03-28, FR</w:t>
      </w:r>
    </w:p>
    <w:p>
      <w:r>
        <w:rPr>
          <w:b/>
        </w:rPr>
        <w:t xml:space="preserve">Quelle: </w:t>
      </w:r>
      <w:r>
        <w:t>https://mcp.opencaselaw.ch/entscheid/bger_6B_1097_2023</w:t>
      </w:r>
    </w:p>
    <w:p>
      <w:r>
        <w:t>FR: TF 6B 1097/2023 du 28 mars 2024</w:t>
      </w:r>
    </w:p>
    <w:p>
      <w:r>
        <w:t>IT: TF 6B 1097/2023 del 28 marzo 2024</w:t>
      </w:r>
    </w:p>
    <w:p>
      <w:pPr>
        <w:pStyle w:val="Heading2"/>
      </w:pPr>
      <w:r>
        <w:t>Regeste</w:t>
      </w:r>
    </w:p>
    <w:p>
      <w:r>
        <w:t>Violation grave des règles de la circulation routière ; présomption d'innocence | Infractions</w:t>
      </w:r>
    </w:p>
    <w:p>
      <w:pPr>
        <w:pStyle w:val="Heading2"/>
      </w:pPr>
      <w:r>
        <w:t>Erwägungen</w:t>
      </w:r>
    </w:p>
    <w:p>
      <w:r>
        <w:rPr>
          <w:b/>
        </w:rPr>
        <w:t>E. 1</w:t>
      </w:r>
    </w:p>
    <w:p>
      <w:r>
        <w:t>Le recourant se plaint d'arbitraire dans l'établissement des faits et d'une violation du principe in dubio pro reo en lien avec la signalisation. Il en conclut que seule une violation simple des règles de la circulation routière, au sens de l' art. 90 al. 1 LCR , devrait être retenue, faute de limitation visible lorsqu'il a été contrôlé.</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au principe in dubio pro reo , celui-ci n'a pas de portée plus large que l'interdiction de l'arbitraire ( ATF 148 IV 409 consid. 2.2; 146 IV 88 consid. 1.3.1).</w:t>
      </w:r>
    </w:p>
    <w:p>
      <w:r>
        <w:rPr>
          <w:b/>
        </w:rPr>
        <w:t>E. 1.2</w:t>
      </w:r>
    </w:p>
    <w:p>
      <w:r>
        <w:t>La cour cantonale a considéré que la présence d'une signalisation, vitesse limitée à 30 km/h, avait été établie par les documents du Département des infrastructures et par les constatations de police qui émanent de deux rapports et d'un plan. Elle a en outre relevé que les agents avaient vérifié, le jour des faits, que la signalisation était conforme et parfaitement visible.</w:t>
      </w:r>
    </w:p>
    <w:p>
      <w:r>
        <w:rPr>
          <w:b/>
        </w:rPr>
        <w:t>E. 1.3</w:t>
      </w:r>
    </w:p>
    <w:p>
      <w:r>
        <w:t>Le recourant oppose sa propre appréciation des événements à celle de la cour cantonale dans une démarche purement appellatoire, partant, irrecevable ( art. 106 al. 2 LTF ). C'est notamment le cas lorsqu'il prétend qu'aucune indication au dossier ne permet d'établir qu'il existait une limitation de vitesse de 30 km/h sur la route ou que rien ne permet de retenir que la limitation de vitesse était signalée de manière visible. Le recourant ne formule aucune critique recevable.</w:t>
      </w:r>
    </w:p>
    <w:p>
      <w:r>
        <w:rPr>
          <w:b/>
        </w:rPr>
        <w:t>E. 2</w:t>
      </w:r>
    </w:p>
    <w:p>
      <w:r>
        <w:t>Le recourant se plaint d'une violation de l' art. 47 CP ( recte 41) et du principe de proportionnalité. Il reproche à la cour cantonale de ne pas avoir prononcé une peine pécuniaire avec sursis.</w:t>
      </w:r>
    </w:p>
    <w:p>
      <w:r>
        <w:rPr>
          <w:b/>
        </w:rPr>
        <w:t>E. 2.1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147 IV 241 consid. 3.2; 144 IV 313 consid. 1.1.1). Conformément à l' art. 41 al. 2 CP , lorsque le juge choisit de prononcer à la place d'une peine pécuniaire une peine privative de liberté, il doit motiver le choix de cette dernière peine de manière circonstanciée.</w:t>
      </w:r>
    </w:p>
    <w:p>
      <w:r>
        <w:rPr>
          <w:b/>
        </w:rPr>
        <w:t>E. 2.2</w:t>
      </w:r>
    </w:p>
    <w:p>
      <w:r>
        <w:t>La cour cantonale a exclu le prononcé d'une peine pécuniaire en exposant que seule une peine privative de liberté se justifiait. Elle a relevé que la prise de conscience du recourant était nulle et que sa collaboration avait été mauvaise. Au vu des éléments exposés par la cour cantonale, la prééminence de la peine privative de liberté ne prête pas flanc à la critique. Le recourant ne formule par ailleurs aucune critique recevable quant à la quotité de la peine prononcée. Le nouveau droit invoqué par le recourant n'a pas à être pris en compte, le Tribunal fédéral n'examinant pas si le nouveau droit entré en vigueur après le prononcé de la décision cantonale attaquée est plus favorable ( ATF 145 IV 137 consid. 2.4).</w:t>
      </w:r>
    </w:p>
    <w:p>
      <w:r>
        <w:rPr>
          <w:b/>
        </w:rPr>
        <w:t>E. 3</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