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6B_1097/2014 vom 16. September 2015</w:t>
      </w:r>
    </w:p>
    <w:p>
      <w:r>
        <w:t>Bundesgericht, 2015-09-16, FR</w:t>
      </w:r>
    </w:p>
    <w:p>
      <w:r>
        <w:rPr>
          <w:b/>
        </w:rPr>
        <w:t xml:space="preserve">Quelle: </w:t>
      </w:r>
      <w:r>
        <w:t>https://mcp.opencaselaw.ch/entscheid/bger_6B_1097_2014</w:t>
      </w:r>
    </w:p>
    <w:p>
      <w:r>
        <w:t>FR: TF 6B_1097/2014 du 16 septembre 2015</w:t>
      </w:r>
    </w:p>
    <w:p>
      <w:r>
        <w:t>IT: TF 6B_1097/2014 del 16 settembre 2015</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consid. 1.4.1 p. 254), et il ne se prononce sur la violation de droits fondamentaux que s'il se trouve saisi d'un grief invoqué et motivé de façon détaillée ( art. 106 al. 2 LTF ; ATF 138 I 171 consid. 1.4 p. 176; 134 I 83 consid. 3.2 p. 88; 134 II 244 consid. 2.2 p. 246).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 Pour invoquer utilement la règle d'appréciation des preuves inhérente à la présomption d'innocence, consacrée par les art. 32 al. 1 Cst. et 10 CPP, le plaideur reconnu coupable d'une infraction doit également démontrer précisément en quoi des doutes sérieux et irréductibles s'imposaient au sujet de sa culpabilité ( ATF 127 I 38 consid. 2 p. 40; voir aussi ATF 138 V 74 consid. 7 p. 82; 124 IV 86 consid. 2a p. 87/88).</w:t>
      </w:r>
    </w:p>
    <w:p>
      <w:r>
        <w:rPr>
          <w:b/>
        </w:rPr>
        <w:t>E. 3</w:t>
      </w:r>
    </w:p>
    <w:p>
      <w:r>
        <w:t>Sur toutes les infractions en cause, le recourant oppose sa propre version des faits aux constatations de la Cour de justice.</w:t>
      </w:r>
    </w:p>
    <w:p>
      <w:r>
        <w:t>Les juges d'appel ont discuté en détail les preuves et indices disponibles; ils ont aussi rapporté et discuté les arguments du recourant, et expliqué pourquoi ils n'emportaient pas leur conviction. A la police puis devant le Juge d'instruction, le recourant a avoué l'usage de la force pour obtenir un rapport sexuel de A.________; il s'est rétracté dans la suite du procès. Les juges d'appel ont notamment expliqué de manière circonstanciée pourquoi, en l'occurrence, son aveu doit être tenu pour l'expression de la vérité, ce qui motive sa condamnation pour viol. Les juges ont aussi expliqué que le recourant, impliqué dans quatre agressions commises en groupe par les mêmes individus et dans la même nuit, ne pouvait pas sérieusement prétendre avoir ignoré que l'un d'eux usait de violences ou menaces contre les victimes, et qu'il s'en était au contraire accommodé; c'est ce qui motive sa condamnation à titre de coauteur des brigandages et de la tentative de brigandage.</w:t>
      </w:r>
    </w:p>
    <w:p>
      <w:r>
        <w:t>A l'appui du recours en matière pénale, le recourant revient sur ces discussions; il critique point par point les considérants de l'arrêt attaqué et il développe sa propre appréciation des preuves et indices. Or, en principe et au regard de l' art. 105 al. 1 LTF , les faits de la cause échappent au contrôle du Tribunal fédéral. En tant que le recourant se plaint d'arbitraire et de violation de la présomption d'innocence, le tribunal ne discerne guère sur quels points il reproche réellement aux juges d'appel,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 au regard de cette disposition légale et de la jurisprudence déjà citée relative à l' art. 97 al. 1 LTF .</w:t>
      </w:r>
    </w:p>
    <w:p>
      <w:r>
        <w:rPr>
          <w:b/>
        </w:rPr>
        <w:t>E. 4</w:t>
      </w:r>
    </w:p>
    <w:p>
      <w:r>
        <w:t>Le principe de célérité impose aux autorités de conduire la procédure pénale sans désemparer, dès le moment où le prévenu est informé des soupçons qui pèsent sur lui, afin de ne pas le maintenir inutilement dans l'angoisse. Il n'est pas possible de remédier aux retards survenus, le cas échéant, dans un procès pénal; c'est pourquoi ceux-ci entraînent des conséquences au stade de la fixation de la peine. En règle générale, une violation du principe de célérité conduit à une réduction de la peine; elle peut aussi conduire à une renonciation à toute peine ou, dans des cas extrêmes, à une ordonnance de classement ( ATF 133 IV 158 consid. 8 p. 170; 130 IV 54 consid. 3.3.1 p. 54/55).</w:t>
      </w:r>
    </w:p>
    <w:p>
      <w:r>
        <w:t>A teneur de l' art. 47 CP , le juge doit fixer la peine en prenant en considération, parmi d'autres critères, la situation personnelle de l'auteur, c'est-à-dire aussi son âge.</w:t>
      </w:r>
    </w:p>
    <w:p>
      <w:r>
        <w:t>Selon l'arrêt attaqué, « les premiers juges ont [...] correctement pris en compte une violation du principe de célérité ainsi que le jeune âge de l'appelant à l'époque des faits ».</w:t>
      </w:r>
    </w:p>
    <w:p>
      <w:r>
        <w:t>Il ressort de l'arrêt que A.________ a déposé plainte pénale le 15 juin 2009 et que l'acte d'accusation est daté du 20 janvier 2014. Le recourant fait état d'une ordonnance de soit-communiqué rendue par le Juge d'instruction au mois de septembre 2010 - il n'en indique pas plus précisément la date - et il se plaint d'un retard de trois ans. Or, l'arrêt attaqué n'indique pas la durée du retard que la Cour de justice a pris en considération sous l'aspect du principe de célérité, et il précise moins encore quand ce retard a censément débuté et pris fin. Le recourant ne prétend pas que, sur ces points, l'arrêt soit insuffisamment motivé; dans ces conditions, l'argumentation présentée ne parvient pas à mettre en évidence une application incorrecte dudit principe, dont la cour a admis la violation.</w:t>
      </w:r>
    </w:p>
    <w:p>
      <w:r>
        <w:t>Le recourant fait aussi état de son jeune âge à l'époque des faits mais cela ne suffit pas non plus, sans discussion des autres facteurs que la Cour de justice a intégrés dans son arrêt, à mettre en évidence un abus ou un excès du pouvoir d'appréciation qui est reconnu à la juridiction cantonale dans la fixation de la peine (cf. ATF 135 IV 130 consid. 5.3.1 p. 134; 134 IV 17 consid. 2.1).</w:t>
      </w:r>
    </w:p>
    <w:p>
      <w:r>
        <w:rPr>
          <w:b/>
        </w:rPr>
        <w:t>E. 5</w:t>
      </w:r>
    </w:p>
    <w:p>
      <w:r>
        <w:t>Dans la mesure où les griefs présentés sont recevables, le recours en matière pénale se révèle privé de fondement.</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recourant doit acquitter l'émolument à percevoir par le Tribunal fédéral, dont le montant sera fixé en tenant compte de sa situation financière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