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6B_1096/2020 vom 4. Dezember 2020</w:t>
      </w:r>
    </w:p>
    <w:p>
      <w:r>
        <w:t>Bundesgericht, 2020-12-04, DE</w:t>
      </w:r>
    </w:p>
    <w:p>
      <w:r>
        <w:rPr>
          <w:b/>
        </w:rPr>
        <w:t xml:space="preserve">Quelle: </w:t>
      </w:r>
      <w:r>
        <w:t>https://mcp.opencaselaw.ch/entscheid/bger_6B_1096_2020</w:t>
      </w:r>
    </w:p>
    <w:p>
      <w:r>
        <w:t>FR: TF 6B_1096/2020 du 4 décembre 2020</w:t>
      </w:r>
    </w:p>
    <w:p>
      <w:r>
        <w:t>IT: TF 6B_1096/2020 del 4 dicembre 2020</w:t>
      </w:r>
    </w:p>
    <w:p>
      <w:pPr>
        <w:pStyle w:val="Heading2"/>
      </w:pPr>
      <w:r>
        <w:t>Erwägungen</w:t>
      </w:r>
    </w:p>
    <w:p>
      <w:r>
        <w:rPr>
          <w:b/>
        </w:rPr>
        <w:t>E. 1</w:t>
      </w:r>
    </w:p>
    <w:p>
      <w:r>
        <w:t>Nach einer Strafanzeige vom 17. November 2019 wegen falscher Anschuldigung, Betrugs und Missbrauchs einer Fernmeldeanlage nahm die Staatsanwaltschaft Limmattal/Albis eine vom Beschwerdeführer angestrengte Strafuntersuchung nicht an die Hand. Eine dagegen gerichtete Beschwerde wies das Obergericht des Kantons Zürich mit Beschluss vom 1. September 2020 ab. Das Gesuch um unentgeltliche Rechtspflege wurde mit Verfügung desselben Datums ebenfalls abgewiesen.</w:t>
      </w:r>
    </w:p>
    <w:p>
      <w:r>
        <w:t>Der Beschwerdeführer wendet sich an das Bundesgericht.</w:t>
      </w:r>
    </w:p>
    <w:p>
      <w:r>
        <w:rPr>
          <w:b/>
        </w:rPr>
        <w:t>E. 2</w:t>
      </w:r>
    </w:p>
    <w:p>
      <w:r>
        <w:t>Anfechtungsobjekt bildet alleine der vorinstanzliche Beschluss ( Art. 80 Abs. 1 BGG ). Somit kann auf die Beschwerde von vornherein nicht eingetreten werden, soweit der Beschwerdeführer sich darin z.B. zu anderen Verfahren äussert als zu demjenigen, das zur angefochtenen Verfügung respektive zum angefochtenen Beschluss geführt hat.</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äussert sich in seiner Eingabe nicht zur Legitimation und zur Frage der Zivilforderungen. Inwiefern ihm ein Vermögensschaden unmittelbar im Zusammenhang mit dem angezeigten Deliktssachverhalt entstanden sein soll, zeigt er nicht auf. Auch dem angefochtenen Entscheid kann insoweit nichts entnommen werden. Für eine in Anspruch genommene Rechtsberatung hat der Beschwerdeführer offenbar "circa 160 CH Fr" bezahlt. Der verlangte Kostenvorschuss für die in Aussicht gestellte Ausfertigung einer Beschwerde von Fr. 600.-- hat er indessen nicht geleistet, so dass auch nicht ersichtlich ist, inwiefern ihm eine Zivilforderung gegen die beschuldigte Person zustehen könnte. Eine Genugtuung nach Art. 49 OR ist zudem nur geschuldet, sofern die Schwere einer Persönlichkeitsverletzung dies rechtfertigt, was vorliegend ebenfalls weder dargetan noch offensichtlich ist. Dem Beschwerdeführer fehlt es demnach an der Beschwerdelegitimation in der Sache im Sinne von Art. 81 Abs. 1 lit. b Ziff. 5 BGG.</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S. 79; 141 IV 1 E. 1.1 S. 5 mit Hinweisen).</w:t>
      </w:r>
    </w:p>
    <w:p>
      <w:r>
        <w:t>Die Beschwerde genügt insoweit den Anforderungen von Art. 106 Abs. 2 BGG nicht. Abgesehen davon könnten die aufgeworfenen Fragen jedenfalls nicht ohne materielle Prüfung der Sache beurteilt werden, was unzulässig ist. Dies gilt insbesondere auch für die sinngemässen Rügen der Verletzung des Rechts auf ein unparteiisches Verfahren oder des Anspruchs auf rechtliches Gehör. Ob Argumente oder Beweise, die der Beschwerdeführer vorbringt bzw. vorbrachte, hätten als belangreich eingestuft werden müssen, liesse sich nur bei einer materiellen Prüfung der Angelegenheit sagen.</w:t>
      </w:r>
    </w:p>
    <w:p>
      <w:r>
        <w:t>Die Frage der unentgeltlichen Rechtspflege und der Vorwurf, die Vorinstanz habe von ihm in rechtswidriger Weise eine Übersetzung einer Beschwerdebeilage verlangt, wurden bereits im Urteil 1B_215/2020 vom 8. Mai 2020 behandelt. Es besteht kein Anlass, darauf zurückzukommen.</w:t>
      </w:r>
    </w:p>
    <w:p>
      <w:r>
        <w:rPr>
          <w:b/>
        </w:rPr>
        <w:t>E. 6</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