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6B_1096/2015 vom 9. Dezember 2015</w:t>
      </w:r>
    </w:p>
    <w:p>
      <w:r>
        <w:t>Bundesgericht, 2015-12-09, FR</w:t>
      </w:r>
    </w:p>
    <w:p>
      <w:r>
        <w:rPr>
          <w:b/>
        </w:rPr>
        <w:t xml:space="preserve">Quelle: </w:t>
      </w:r>
      <w:r>
        <w:t>https://mcp.opencaselaw.ch/entscheid/bger_6B_1096_2015</w:t>
      </w:r>
    </w:p>
    <w:p>
      <w:r>
        <w:t>FR: TF 6B_1096/2015 du 9 décembre 2015</w:t>
      </w:r>
    </w:p>
    <w:p>
      <w:r>
        <w:t>IT: TF 6B_1096/2015 del 9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Confirmant l'ordonnance de non-entrée en matière rendue par le Ministère public, elle a un caractère final ( art. 90 LTF ) et émane de l'autorité cantonale de dernière instance ( art. 80 LTF ). Les recourants ont en outre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A cet égard et en lien tout d'abord avec l'infraction de contrainte, les recourants soutiennent qu'en tant qu'héritiers et propriétaires du domaine dont l'accès leur est refusé, ils ne pourraient faire estimer les oeuvres d'art s'y trouvant, les assurer de manière conforme à leur valeur, voire les faire réaliser. Cependant, cela ne suffit pas pour démontrer quel serait le possible préjudice - notamment sa quotité - encouru par les recourants. En effet, ils ne prétendent pas que le report de l'estimation entraînerait une perte de valeur des biens ou les aurait empêchés de concrétiser une vente. Quant aux problèmes d'assurance invoqués, les recourants ne remettent pas en cause l'affirmation de D.________ relative au paiement des primes y relatives, ni ne soutiennent que celles-ci ne correspondraient pas à la valeur des biens. Partant, il y a lieu de dénier aux recourants la qualité pour recourir au sens de l'art. 81 al. 1 let. b ch. 5 LTF s'agissant du chef de prévention de contrainte ( art. 181 CP ).</w:t>
      </w:r>
    </w:p>
    <w:p>
      <w:r>
        <w:t>En ce qui concerne ensuite l'infraction de faux dans les titres, la fausse facture tendrait à démontrer en particulier la propriété d'une oeuvre d'art par D.________ au détriment du fils et de la fille X.________. Ces derniers risquent ainsi de voir leur patrimoine réduit de la valeur de la pièce en question (cf. arrêt 6B_96/2014 du 30 juin 2014 consid. 1.3 et 1.4, ainsi que les références citées). Par conséquent, ils ont qualité pour recourir sur ce point et il y a lieu d'entrer en matière dans cette mesure.</w:t>
      </w:r>
    </w:p>
    <w:p>
      <w:r>
        <w:rPr>
          <w:b/>
        </w:rPr>
        <w:t>E. 2</w:t>
      </w:r>
    </w:p>
    <w:p>
      <w:r>
        <w:t>Invoquant des violations des art. 309 al. 1 let. a et 310 CPP , les recourants soutiennent en substance qu'une instruction formelle aurait dû être ouverte dès lors que leurs plaintes avaient été adressées directement au Ministère public (ad I du mémoire de recours); celui-ci aurait également dû rendre une ordonnance de classement vu le mandat donné à la police d'entendre l'intimée (ad II de l'écriture susmentionnée).</w:t>
      </w:r>
    </w:p>
    <w:p>
      <w:r>
        <w:t>Il ne ressort cependant pas de l'arrêt attaqué que ces arguments auraient été soulevés devant l'autorité précédente. Ces griefs doivent par conséquent être déclarés irrecevables, faute d'épuisement des voies de recours ( art. 80 al. 1 LTF ; ATF 135 I 91 consid. 2.1 p. 93; arrêts 6B_841/2015 du 10 novembre 2015, consid. 1; 6B_728/2014 du 3 juin 2015 consid. 2.1).</w:t>
      </w:r>
    </w:p>
    <w:p>
      <w:r>
        <w:rPr>
          <w:b/>
        </w:rPr>
        <w:t>E. 3</w:t>
      </w:r>
    </w:p>
    <w:p>
      <w:r>
        <w:t>Soutenant que les éléments constitutifs de l'infraction de faux dans les titres ( art. 251 CP ) seraient réalisés, les recourants reprochent à la juridiction cantonale des violations de l' art. 310 al. 1 let. a CPP et du principe "in dubio pro duriore".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"in dubio pro duriore"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3.2</w:t>
      </w:r>
    </w:p>
    <w:p>
      <w:r>
        <w:t>Les infractions du droit pénal relatif aux titres protègent la confiance qui, dans les relations juridiques, est placée dans un titre comme moyen de preuve ( ATF 138 IV 130 consid. 2.1 p. 134). Sont des titres, entre autres, tous les écrits destinés et propres à prouver un fait ayant une portée juridique ( art. 110 al. 4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L'aptitude à prouver peut résulter directement de la loi, mais aussi du sens ou de la nature du document ou des usages commerciaux ( ATF 138 IV 130 consid. 2.2.1 p. 135; 132 IV 57 consid. 5.1 p. 59).</w:t>
      </w:r>
    </w:p>
    <w:p>
      <w:r>
        <w:rPr>
          <w:b/>
        </w:rPr>
        <w:t>E. 3.3</w:t>
      </w:r>
    </w:p>
    <w:p>
      <w:r>
        <w:t>Selon l' art. 251 ch.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Cette disposition vise aussi bien un titre faux ou la falsification d'un titre (faux matériel) qu'un titre mensonger (faux intellectuel; ATF 132 IV 57 consid. 5.1 p. 59).</w:t>
      </w:r>
    </w:p>
    <w:p>
      <w:r>
        <w:rPr>
          <w:b/>
        </w:rPr>
        <w:t>E. 3.3.1</w:t>
      </w:r>
    </w:p>
    <w:p>
      <w:r>
        <w:t>Il y a faux matériel lorsqu'une personne fabrique un titre dont l'auteur réel ne coïncide pas avec l'auteur apparent. Le faussaire crée un titre qui trompe sur l'identité de celui dont il émane en réalité. Il est sans importance de savoir si le contenu d'un tel titre est mensonger ou non ( ATF 137 IV 167 consid. 2.3.1 p. 168 s. et les arrêts cités).</w:t>
      </w:r>
    </w:p>
    <w:p>
      <w:r>
        <w:rPr>
          <w:b/>
        </w:rPr>
        <w:t>E. 3.3.2</w:t>
      </w:r>
    </w:p>
    <w:p>
      <w:r>
        <w:t>Quant au faux intellectuel, il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126 IV 65 consid. 2a p. 67 s.).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 ATF 132 IV 12 consid. 8.1 p. 15; 129 IV 130 consid. 2.1 p. 134; 126 IV 65 consid. 2a p. 67 s.).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68).</w:t>
      </w:r>
    </w:p>
    <w:p>
      <w:r>
        <w:t>De jurisprudence constante, les factures ne sont, en règle générale, pas des titres ( ATF 138 IV 130 consid. 2.2.1 p. 135 et les arrêts cités). Une valeur probante accrue peut cependant exceptionnellement leur être reconnue au regard de l'usage concret auquel elles sont destinées (cf. par exemple en matière de comptabilité, ATF 138 IV 130 consid. 2.2.1 p. 135 et consid. 2.4.3 p. 139) ou en raison de la fonction de la personne les ayant établies (cf. ATF 117 IV 165 consid. 2c p. 169 s., 103 IV 178 consid. 2 p. 184 s., arrêt 6B_589/2009 du 14 août 2008 consid. 2.1.1 [médecin par rapport à l'assurance-maladie]; ATF 119 IV 54 consid. 2d/dd p. 58 s. [architecte en charge de vérifier les factures]; 120 IV 361 consid. 2c p. 363 s. [organe dirigeant d'une succursale bancaire]). Une telle position, assimilable à celle d'un garant, a été notamment niée dans la mesure où une facture a été établie par une personne qui n'était pas intéressée au procès dans lequel le document avait été produit ( ATF 121 IV 131 consid. 2c p. 135; pour d'autres exemples cf. ATF 125 IV 273 consid. 3/bb p. 278 s.).</w:t>
      </w:r>
    </w:p>
    <w:p>
      <w:r>
        <w:rPr>
          <w:b/>
        </w:rPr>
        <w:t>E. 3.4</w:t>
      </w:r>
    </w:p>
    <w:p>
      <w:r>
        <w:t>La cour cantonale a retenu que de nombreux éléments au dossier tendaient à étayer l'accusation des recourants selon laquelle le contenu de la facture produite par l'intimée pour établir son droit de propriété sur l'oeuvre "R.________" aurait été modifié afin de faire apparaître l'intéressée comme l'unique acquéreur de ce bien. Elle a également considéré que les déclarations des auteurs de ces modifications devant la juridiction new-yorkaise permettaient de soupçonner que l'intimée en avait connaissance et avait pu les utiliser pour augmenter ses chances dans le litige l'opposant aux recourants. Cependant, l'autorité précédente a relevé que tant le galeriste que ses deux employés n'avaient aucun devoir légal de contrôle ou de renseignements qui aurait donné à leurs déclarations une garantie objective de véracité de nature à conférer aux factures établies la qualité de titre.</w:t>
      </w:r>
    </w:p>
    <w:p>
      <w:r>
        <w:rPr>
          <w:b/>
        </w:rPr>
        <w:t>E. 3.5</w:t>
      </w:r>
    </w:p>
    <w:p>
      <w:r>
        <w:t>L'argumentation développée par les recourants ne permet pas de remettre en cause ce raisonnement.</w:t>
      </w:r>
    </w:p>
    <w:p>
      <w:r>
        <w:t>En effet, ce ne sont pas les explications ultérieures tenues devant la juridiction new-yorkaise par le galeriste et ses employés - a priori concordantes et allant peut-être à l'encontre de leurs propres intérêts - sur l'établissement des factures modifiées qui permettent de retenir que le contenu de celles-ci aurait une valeur probante accrue. Une telle valeur ne découle pas non plus de la réputation mondiale alléguée de la galerie ou des risques encourus à sa notoriété. On ne voit pas plus en quoi la qualité de professionnel de l'art permettrait en l'espèce de retenir une position assimilable à un garant; l'émission de factures ne nécessite en effet aucune des compétences spécifiques que peut détenir un galeriste. Ce dernier, ainsi que ses deux employés n'ont au demeurant aucun intérêt propre à défendre dans le cadre du litige opposant les recourants à l'intimée. En tout état de cause, force est de constater qu'à aucun moment, la propriété de l'intimée n'a été établie sur la base de ces factures litigieuses. Au contraire, les recourants ont immédiatement suspecté celles-ci d'être fausses et engagé la procédure judiciaire au cours de laquelle le galeriste et ses employés ont été entendus.</w:t>
      </w:r>
    </w:p>
    <w:p>
      <w:r>
        <w:t>Partant, la Chambre pénale de recours a confirmé, sans violer le principe "in dubio pro duriore", l'ordonnance de non-entrée en matière rendue par le Ministère public ( art. 310 al. 1 let. a CPP ).</w:t>
      </w:r>
    </w:p>
    <w:p>
      <w:r>
        <w:rPr>
          <w:b/>
        </w:rPr>
        <w:t>E. 4</w:t>
      </w:r>
    </w:p>
    <w:p>
      <w:r>
        <w:t>Il s'ensuit que le recours est rejeté dans la mesure où il est recevable.</w:t>
      </w:r>
    </w:p>
    <w:p>
      <w:r>
        <w:t>Les recourants, qui succombent, supportent solidairement les frais judiciaires ( art. 66 al. 1 LTF ). L'intimée n'ayant notamment pas été invitée à procéder,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