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6B_1095/2022 vom 24. Februar 2023</w:t>
      </w:r>
    </w:p>
    <w:p>
      <w:r>
        <w:t>Bundesgericht, 2023-02-24, FR</w:t>
      </w:r>
    </w:p>
    <w:p>
      <w:r>
        <w:rPr>
          <w:b/>
        </w:rPr>
        <w:t xml:space="preserve">Quelle: </w:t>
      </w:r>
      <w:r>
        <w:t>https://mcp.opencaselaw.ch/entscheid/bger_6B_1095_2022</w:t>
      </w:r>
    </w:p>
    <w:p>
      <w:r>
        <w:t>FR: TF 6B_1095/2022 du 24 février 2023</w:t>
      </w:r>
    </w:p>
    <w:p>
      <w:r>
        <w:t>IT: TF 6B_1095/2022 del 24 febbraio 2023</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1.2</w:t>
      </w:r>
    </w:p>
    <w:p>
      <w:r>
        <w:t>La recourante affirme que la reconnaissance d'actes de concurrence déloyale aura des effets sur le jugement de ses prétentions civiles. Elle rappelle que la notion de prétentions civiles vise les dommages-intérêts et l'indemnité pour tort moral, mais aussi les conclusions tendant à une interdiction, à la cessation d'un comportement illicite ou à la constatation de ce caractère illicite, comme le prévoit par exemple l' art. 9 al. 1 LCD . Elle fait ensuite allusion à des prétentions en dommages-intérêts qu'elle pourrait faire valoir à l'encontre de B.________. Elle expose également que s'il n'y a pas d'acte pénalement répréhensible au sens de l' art. 23 LCD , il n'y aura pas, ou peu, de place pour une action en remise totale ou partielle du gain ( art. 9 al. 3 LCD ). Les généralités exposées ne permettent pas de comprendre en quoi consiste exactement et concrètement le dommage de la recourante et quelles prétentions elle entend faire valoir à l'encontre de B.________. L'absence d'explications précises sur la question des prétentions civiles exclut donc sa qualité pour recourir sur le fond de la cause au sens de l'art. 81 al. 1 let. a et b ch. 5 LTF.</w:t>
      </w:r>
    </w:p>
    <w:p>
      <w:r>
        <w:t>La recourante ne soulève aucun grief quant à son droit de porter plainte, de sorte que l'hypothèse visée à l'art. 81 al. 1 let. b ch. 6 LTF n'entre pas en considération.</w:t>
      </w:r>
    </w:p>
    <w:p>
      <w:r>
        <w:rPr>
          <w:b/>
        </w:rPr>
        <w:t>E. 2</w:t>
      </w:r>
    </w:p>
    <w:p>
      <w:r>
        <w:t>Indépendamment de sa qualité pour recourir sur le fond, celui qui se prétend lésé par une infraction peut invoquer la violation de droits que la loi de procédure applicable ou le droit constitutionnel lui reconnaît comme partie à la procédure, lorsque cette violation équivaut à un déni de justice formel ( ATF 141 IV 1 consid. 1.1 p. 5; 136 IV 29 consid. 1.9 p. 40; 136 IV 41 consid. 1.4 p. 44).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136 IV 41 consid. 1.4 p. 44).</w:t>
      </w:r>
    </w:p>
    <w:p>
      <w:r>
        <w:t>La recourante se plaint du fait que le ministère public a refusé d'entendre la personne mise en cause, en particulier sur des écrits prétendus de sa part, produits par des témoins. Elle n'aurait ainsi pas pu exercer son droit au contradictoire. Par ces griefs, elle ne fait pas valoir la violation de règles de procédure destinées à sa protection, mais s'en prend à l'appréciation des preuves et donc au fond du litige. Ces griefs sont dès lors irrecevables.</w:t>
      </w:r>
    </w:p>
    <w:p>
      <w:r>
        <w:rPr>
          <w:b/>
        </w:rPr>
        <w:t>E. 3</w:t>
      </w:r>
    </w:p>
    <w:p>
      <w:r>
        <w:t>Le recours est irrecevable.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