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6B_1094/2021 vom 27. September 2021</w:t>
      </w:r>
    </w:p>
    <w:p>
      <w:r>
        <w:t>Bundesgericht, 2021-09-27, FR</w:t>
      </w:r>
    </w:p>
    <w:p>
      <w:r>
        <w:rPr>
          <w:b/>
        </w:rPr>
        <w:t xml:space="preserve">Quelle: </w:t>
      </w:r>
      <w:r>
        <w:t>https://mcp.opencaselaw.ch/entscheid/bger_6B_1094_2021</w:t>
      </w:r>
    </w:p>
    <w:p>
      <w:r>
        <w:t>FR: TF 6B_1094/2021 du 27 septembre 2021</w:t>
      </w:r>
    </w:p>
    <w:p>
      <w:r>
        <w:t>IT: TF 6B_1094/2021 del 27 settembre 2021</w:t>
      </w:r>
    </w:p>
    <w:p>
      <w:pPr>
        <w:pStyle w:val="Heading2"/>
      </w:pPr>
      <w:r>
        <w:t>Erwägungen</w:t>
      </w:r>
    </w:p>
    <w:p>
      <w:r>
        <w:rPr>
          <w:b/>
        </w:rPr>
        <w:t>E. 1</w:t>
      </w:r>
    </w:p>
    <w:p>
      <w:r>
        <w:t>Par jugement du 9 novembre 2020, le Tribunal de police de la République et canton de Genève a condamné A.________, pour tentative de contrainte, à une peine pécuniaire de 90 jours-amende à 10 fr. l'unité avec sursis et délai d'épreuve de 3 ans, ainsi qu'à payer à B.________ et à C.________ 32'711 fr. 30 chacune pour les dépenses obligatoires occasionnées par la procédure. Il a en outre mis les frais de procédure à la charge de A.________.</w:t>
      </w:r>
    </w:p>
    <w:p>
      <w:r>
        <w:t>Par arrêt du 14 juin 2021, la Chambre pénale d'appel et de révision de la Cour de justice genevoise a rejeté l'appel formé par A.________ contre le jugement précité.</w:t>
      </w:r>
    </w:p>
    <w:p>
      <w:r>
        <w:t>En substance, il en ressort que A.________ a fait notifier, les 3 juillet et 23 août 2018, à ses deux soeurs, B.________ et C.________, deux commandements de payer chacune, le premier portant sur un montant de 989'000 fr. avec intérêts à 5 % l'an dès le 5 juin 2017 et le second portant sur deux montants, soit 24'000 fr. avec intérêts à 15 % l'an dès le 7 juillet 2017 et 30'000 fr. avec intérêts à 15 % l'an dès le 28 mars 2014, se prévalant de prétendues malversations de la part des prénommées dans le cadre de la succession de feu leur père. Les montants réclamés par le recourant étaient toutefois sans fondement. La cour cantonale a ainsi estimé que le recourant s'était rendu coupable de tentative de contrainte.</w:t>
      </w:r>
    </w:p>
    <w:p>
      <w:r>
        <w:t>A.________ forme un recours au Tribunal fédéral contre l'arrêt précité.</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2.2</w:t>
      </w:r>
    </w:p>
    <w:p>
      <w:r>
        <w:t>En l'espèce, le recourant ne formule aucune conclusion. En outre, son argumentation se résume à une présentation personnelle des faits, pour une part, sans grand lien avec la présente cause et pour une autre part, consistant en des reproches adressés à ses soeurs en lien avec la succession de leur père. Purement appellatoire, son exposé est irrecevable. En outre, l'objet du litige est circonscrit par l'arrêt attaqué aux faits reprochés au recourant et à l'infraction de tentative de contrainte dont il a été reconnu coupable. Les critiques du recourant ne peuvent ainsi porter que sur ces éléments et toutes autres considérations, en particulier celles concernant des prétendues infractions dont le recourant se prétend victime et qu'il entend "dénoncer", sont irrecevables (cf. art. 80 al. 1 LTF ). Pour le surplus, le recourant ne démontre aucunement en quoi les considérations cantonales violeraient le droit et ne présente aucun grief répondant aux exigences de motivation de l' art. 42 al. 2 LTF .</w:t>
      </w:r>
    </w:p>
    <w:p>
      <w:r>
        <w:rPr>
          <w:b/>
        </w:rPr>
        <w:t>E. 3</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