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1094/2015 vom 7. Dezember 2015</w:t>
      </w:r>
    </w:p>
    <w:p>
      <w:r>
        <w:t>Bundesgericht, 2015-12-07, DE</w:t>
      </w:r>
    </w:p>
    <w:p>
      <w:r>
        <w:rPr>
          <w:b/>
        </w:rPr>
        <w:t xml:space="preserve">Quelle: </w:t>
      </w:r>
      <w:r>
        <w:t>https://mcp.opencaselaw.ch/entscheid/bger_6B_1094_2015</w:t>
      </w:r>
    </w:p>
    <w:p>
      <w:r>
        <w:t>FR: TF 6B 1094/2015 du 7 décembre 2015</w:t>
      </w:r>
    </w:p>
    <w:p>
      <w:r>
        <w:t>IT: TF 6B 1094/2015 del 7 dicembre 2015</w:t>
      </w:r>
    </w:p>
    <w:p>
      <w:pPr>
        <w:pStyle w:val="Heading2"/>
      </w:pPr>
      <w:r>
        <w:t>Regeste</w:t>
      </w:r>
    </w:p>
    <w:p>
      <w:r>
        <w:t>Nichtanhandnahme (Verletzung des Amtsgeheimnisses)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Basel-Landschaft, Erste Staatsanwältin, Grenzacherstrasse 8, 4132 Muttenz,</w:t>
      </w:r>
    </w:p>
    <w:p>
      <w:r>
        <w:rPr>
          <w:b/>
        </w:rPr>
        <w:t>E. 2</w:t>
      </w:r>
    </w:p>
    <w:p>
      <w:r>
        <w:t>Die Gerichtskosten sind dem Beschwerdeführer aufzuerlegen ( Art. 66 Abs. 1 BGG ). Dem Beschwerdegegner 2 ist keine Entschädigung auszurichten, weil er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