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1092/2020 vom 12. Oktober 2020</w:t>
      </w:r>
    </w:p>
    <w:p>
      <w:r>
        <w:t>Bundesgericht, 2020-10-12, FR</w:t>
      </w:r>
    </w:p>
    <w:p>
      <w:r>
        <w:rPr>
          <w:b/>
        </w:rPr>
        <w:t xml:space="preserve">Quelle: </w:t>
      </w:r>
      <w:r>
        <w:t>https://mcp.opencaselaw.ch/entscheid/bger_6B_1092_2020</w:t>
      </w:r>
    </w:p>
    <w:p>
      <w:r>
        <w:t>FR: TF 6B 1092/2020 du 12 octobre 2020</w:t>
      </w:r>
    </w:p>
    <w:p>
      <w:r>
        <w:t>IT: TF 6B 1092/2020 del 12 ottobre 2020</w:t>
      </w:r>
    </w:p>
    <w:p>
      <w:pPr>
        <w:pStyle w:val="Heading2"/>
      </w:pPr>
      <w:r>
        <w:t>Regeste</w:t>
      </w:r>
    </w:p>
    <w:p>
      <w:r>
        <w:t>Ordonnance de non-entrée en matière ; irrecevabilité du recours | Procédure pénale</w:t>
      </w:r>
    </w:p>
    <w:p>
      <w:pPr>
        <w:pStyle w:val="Heading2"/>
      </w:pPr>
      <w:r>
        <w:t>Erwägungen</w:t>
      </w:r>
    </w:p>
    <w:p>
      <w:r>
        <w:rPr>
          <w:b/>
        </w:rPr>
        <w:t>E. 1</w:t>
      </w:r>
    </w:p>
    <w:p>
      <w:r>
        <w:t>Le 16 juin 2020, A.________ a déposé plainte contre B.________, pour escroquerie et abus de confiance. Par ordonnance du 8 juillet 2020, le Ministère public de l'arrondissement du Nord vaudois a refusé d'entrer en matière sur cette plainte. Par arrêt du 18 août 2020, la Chambre des recours pénale du Tribunal cantonal du canton de Vaud a rejeté le recours formé par A.________ contre cette ordonnance de non-entrée en matière et a confirmé celle-ci. A.________ forme un recours en matière pénale au Tribunal fédéral contre l'arrêt du 18 août 2020.</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l'espèce, le recourant ne formule pas de conclusions. On comprend de son écriture qu'il conteste l'état de fait de la cour cantonale, sans qu'une quelconque argumentation - répondant aux réquisits légaux en la matière - puisse être décelée à cet égard. Pour le reste, le recourant énumère ce que l'on comprend correspondre à des frais supportés, ainsi que des moyens probatoires qu'il aurait souhaité voir ordonnés. C'est en vain que l'on cherche une motivation topique permettant de saisir en quoi l'autorité précédente aurait pu violer le droit. Au demeurant, le recourant n'indique aucunement dans quelle mesure il aurait la qualité pour recourir en matière pénale au regard de l'art. 81 al. 1 let. b ch. 5 LTF. 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