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6B_1091/2019 vom 16. Oktober 2019</w:t>
      </w:r>
    </w:p>
    <w:p>
      <w:r>
        <w:t>Bundesgericht, 2019-10-16, FR</w:t>
      </w:r>
    </w:p>
    <w:p>
      <w:r>
        <w:rPr>
          <w:b/>
        </w:rPr>
        <w:t xml:space="preserve">Quelle: </w:t>
      </w:r>
      <w:r>
        <w:t>https://mcp.opencaselaw.ch/entscheid/bger_6B_1091_2019</w:t>
      </w:r>
    </w:p>
    <w:p>
      <w:r>
        <w:t>FR: TF 6B_1091/2019 du 16 octobre 2019</w:t>
      </w:r>
    </w:p>
    <w:p>
      <w:r>
        <w:t>IT: TF 6B_1091/2019 del 16 ottobre 2019</w:t>
      </w:r>
    </w:p>
    <w:p>
      <w:pPr>
        <w:pStyle w:val="Heading2"/>
      </w:pPr>
      <w:r>
        <w:t>Erwägungen</w:t>
      </w:r>
    </w:p>
    <w:p>
      <w:r>
        <w:rPr>
          <w:b/>
        </w:rPr>
        <w:t>E. 1</w:t>
      </w:r>
    </w:p>
    <w:p>
      <w:r>
        <w:t>La voie du recours en matière pénale est ouverte dès lors que l'autorisation d'administrer une médication sous contrainte dans le cadre d'une mesure institutionnelle constitue une décision sur l'exécution d'une mesure au sens de l' art. 78 al. 2 let. b LTF . La Cour de droit pénal est compétente pour en connaître (arrêts 6B_1126/2016 du 10 octobre 2016 consid. 1.3; 6B_824/2015 du 22 septembre 2015 consid. 1.1).</w:t>
      </w:r>
    </w:p>
    <w:p>
      <w:r>
        <w:rPr>
          <w:b/>
        </w:rPr>
        <w:t>E. 2</w:t>
      </w:r>
    </w:p>
    <w:p>
      <w:r>
        <w:t>Le conseil du recourant a déposé un mémoire de recours dactylographié de 8 pages, auquel il a joint, à la demande du recourant, un argumentaire complémentaire manuscrit établi par ce dernier.</w:t>
      </w:r>
    </w:p>
    <w:p>
      <w:r>
        <w:t>Une telle manière de procéder n'est pas critiquable dans la mesure où la LTF n'exige pas que la motivation d'un recours soit contenue dans une seule et unique écriture, mais uniquement que (sous réserve des cas visés par l' art. 43 LTF ) toute la motivation soit fournie dans le délai de recours (LAURENT MERZ, in Basler Kommentar BGG 2018, no 43 ad art. 42 LTF ). On ne répondra toutefois aux moyens figurant dans cette seconde écriture qu'autant qu'ils sont pertinents et non redondants.</w:t>
      </w:r>
    </w:p>
    <w:p>
      <w:r>
        <w:rPr>
          <w:b/>
        </w:rPr>
        <w:t>E. 3</w:t>
      </w:r>
    </w:p>
    <w:p>
      <w:r>
        <w:t>Dans ses conclusions formelles, le recourant demande que soit ordonnée " la cessation avec effet</w:t>
      </w:r>
    </w:p>
    <w:p>
      <w:r>
        <w:t>immédiat de la médication sous contrainte ". Cette conclusion étant introduite par la conjonction " partant " et faisant suite à celle tendant à l'annulation de l'arrêt du 19 août 2019, cette articulation permet de comprendre que la seconde conclusion constitue la conséquence de la première au fond et non une demande incidente à caractère provisionnel. De surcroît, le présent arrêt rendrait de toute manière sans objet une éventuelle demande relative à l'effet suspensif.</w:t>
      </w:r>
    </w:p>
    <w:p>
      <w:r>
        <w:rPr>
          <w:b/>
        </w:rPr>
        <w:t>E. 4</w:t>
      </w:r>
    </w:p>
    <w:p>
      <w:r>
        <w:t>Le recourant soutient que le traitement par injection régulière du neuroleptique Xeplion à une dose importante constitue une atteinte à ses droits fondamentaux (dignité humaine [ art. 7 Cst. ] et liberté personnelle [ art. 10 al. 2 Cst. ]), qu'il juge grave et intolérable. Il en conteste la proportionnalité au regard de l' art. 56 al. 2 CP . Il objecte aussi que ce traitement n'a pas été déterminé par le juge compétent pour prononcer la mesure mais par l'autorité d'exécution. Cette médication dispensée depuis six mois, n'aurait pas démontré d'effet positif favorable sur l'évolution de sa santé mentale et devrait, partant, être interrompue pour ce motif déjà. De surcroît, cette prescription aurait, aux yeux du recourant, valeur de " punition " en relation avec les sanctions disciplinaires prononcées à son encontre depuis 2018. Le recourant souligne à ce propos que lesdites sanctions, qu'il reconnaît avoir été nombreuses, ne se rapportaient pas à des actes de violence vis-à-vis des tiers. Le placement à des fins d'assistance initié le 11 septembre 2018 avait été levé le 19 septembre 2018, parce que son état psychique ne justifiait plus cette mesure, ce qui démontrerait également que le recourant ne serait dangereux ni pour lui-même ni pour autrui. Le traitement en question aurait été instauré en relation avec le diagnostic de bipolarité posé par l'expert B.________ et écarté depuis lors par les autres médecins et experts au bénéfice de celui de " schizophrénie indifférenciée partiellement compensée ". En définitive, le risque de passage à l'acte violent ne se serait jamais concrétisé; la levée très rapide du placement à des fins d'assistance démontrerait l'inexistence de ce risque, lequel serait d'autant plus faible que la mesure institutionnelle est exécutée à D.________, sous un régime de détention extrêmement stricte dont le respect serait assuré par de nombreux agents de sécurité.</w:t>
      </w:r>
    </w:p>
    <w:p>
      <w:r>
        <w:rPr>
          <w:b/>
        </w:rPr>
        <w:t>E. 4.1</w:t>
      </w:r>
    </w:p>
    <w:p>
      <w:r>
        <w:t>La médication sous contrainte constitue une atteinte grave à l'intégrité corporelle et psychique ( art. 10 al. 2 Cst. et art. 8 ch. 1 CEDH ); elle touche au coeur même de la dignité humaine ( ATF 127 I 6 consid. 5 p. 10; 130 I 16 consid. 3 p. 18). En plus de l'exigence d'une base légale formelle (constituée en l'occurrence par l' art. 59 CP ; v. ATF 134 I 221 consid. 3.3.2 p. 228 in fine; 130 IV 49 consid. 3.3 p. 52; arrêt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 ATF 130 I 16 consid. 4 et 5), sans ignorer les effets secondaires persistant à long terme des neuroleptiques administrés sous contrainte ( ATF 130 I 16 consid. 5.3 p. 21).</w:t>
      </w:r>
    </w:p>
    <w:p>
      <w:r>
        <w:rPr>
          <w:b/>
        </w:rPr>
        <w:t>E. 4.2</w:t>
      </w:r>
    </w:p>
    <w:p>
      <w:r>
        <w:t>En tant que le recourant objecte tout d'abord que la médication forcée n'aurait pas été ordonnée par le juge qui a prononcé la mesure institutionnelle, il méconnaît que les autorités d'exécution des peines sont compétentes en la matière pour peu que le but de la mesure et le type de traitement corresponde à ce qui avait été envisagé par le juge pénal au stade du prononcé de la mesure ( ATF 130 IV 49 consid. 3 p. 50 ss; arrêt 6B_821/2018 du 26 octobre 2018 consid. 2.1). Il suffit donc de rappeler qu'en l'espèce la mesure institutionnelle avait précisément été préconisée par l'expert " afin de mieux encadrer le traitement psychiatrique " (arrêt entrepris consid. B in fine, p. 2). Or, la médication sous contrainte peut s'inscrire adéquatement dans un tel but de renforcement du cadre thérapeutique.</w:t>
      </w:r>
    </w:p>
    <w:p>
      <w:r>
        <w:rPr>
          <w:b/>
        </w:rPr>
        <w:t>E. 4.3</w:t>
      </w:r>
    </w:p>
    <w:p>
      <w:r>
        <w:t>Quant à l'existence du grave trouble psychique et à l'adéquation du traitement par neuroleptiques, le recourant objecte que c'est un diagnostic de bipolarité qui aurait été posé à l'origine et qui aurait justifié, selon lui, la prescription litigieuse. Celle-ci ne serait plus adaptée aux diagnostics posés ensuite.</w:t>
      </w:r>
    </w:p>
    <w:p>
      <w:r>
        <w:t>Il ressort toutefois de la décision entreprise que le trouble bipolaire initialement diagnostiqué par l'expert B.________ ne l'avait pas été de manière isolée mais en conjonction avec un trouble mixte de la personnalité à traits psychopathiques marqués " (arrêt entrepris consid. B p. 2). Quoi qu'il en soit, les experts sont désormais unanimes à classer l'atteinte dont souffre le recourant parmi les psychoses et à proposer une médication neuroleptique. Le recourant ne peut donc rien déduire en sa faveur des conclusions auxquelles était parvenu, en son temps, l'expert B.________.</w:t>
      </w:r>
    </w:p>
    <w:p>
      <w:r>
        <w:rPr>
          <w:b/>
        </w:rPr>
        <w:t>E. 4.4</w:t>
      </w:r>
    </w:p>
    <w:p>
      <w:r>
        <w:t>Dans la perspective de la proportionnalité, la décision entreprise constate que le recourant souffre d'un grave trouble psychique qui n'est que partiellement compensé et qu'il présente un risque de passage à l'acte hétéro-auto-violent. La mesure institutionnelle apparaît cliniquement et criminologiquement pertinente. Elle est propre à améliorer le pronostic légal du recourant. Celui-ci est toutefois anosognosique et refuse tout traitement alors qu'une médication apparaît nécessaire pour permettre de stabiliser son état clinique ainsi que l'orienter dans sa réinsertion professionnelle. Depuis le début de l'année 2018, son état psychique n'a cessé de se dégrader, rendant sa prise en charge au sein de D.________ de plus en plus difficile. La cour cantonale a souligné, dans ce contexte, les douze sanctions subies par le recourant entre le 19 mars et le 2 octobre 2018, notamment pour des refus d'obtempérer, des menaces et des comportements inappropriés, ainsi que les sanctions disciplinaires encore prononcées les 11 et 16 avril ainsi que 11 et 12 mai 2019. Elle a également relevé que la Direction de D.________ n'était pas en mesure d'identifier des éléments permettant d'envisager la reprise par le requérant de son programme de resocialisation.</w:t>
      </w:r>
    </w:p>
    <w:p>
      <w:r>
        <w:t>On comprend ainsi aisément que la médication forcée, indépendamment même des questions relatives à la sécurité du recourant et des tiers au sein de D.________, tend à permettre au recourant de surmonter l'anosognosie, d'accepter le besoin d'un traitement afin de s'investir dans la mesure thérapeutique et sa réinsertion professionnelle d'une manière telle que la mesure institutionnelle puisse avoir des chances de succès et conduire à une amélioration de son pronostic légal. De telles visées ne sont, en tout cas, pas critiquables (v. HEER/ HABERMAYER, in Basler Kommentar, Strafrecht I, 4e éd. 2019, no 83 ad art. 59 CP ). Elles relèguent, par ailleurs, à l'arrière-plan l'argumentation du recourant selon laquelle le cadre dans lequel se déroule le traitement suffirait, à lui seul, à assurer la sécurité des surveillants et des autres résidents, ces considérations sécuritaires n'apparaissant pas comme prépondérantes dans la pesée des intérêts. On comprend également de la motivation de la décision querellée que l'absence de médication a conduit, depuis le début de l'année 2018, à une péjoration croissante de l'état psychique du recourant et que les sanctions disciplinaires ne permettent pas de recadrer durablement l'intéressé dans le suivi de la mesure thérapeutique institutionnelle, dont le succès semble compromis. La cour cantonale en a conclu que les mesures mises en place avant la décision litigieuse demeuraient insuffisantes et ne permettaient pas d'améliorer le pronostic légal. La médication apparaît ainsi nécessaire sous cet angle également. Toujours dans la perspective de la proportionnalité, il ressort aussi de la décision querellée que le traitement a été tout d'abord proposé à plusieurs reprises au recourant sur une base volontaire, offre qu'il a toutefois déclinée catégoriquement (arrêt entrepris, consid. F. p. 2). On ne saurait, dès lors, reprocher à la cour cantonale d'avoir conclu que la médication sous contrainte est nécessaire et qu'aucune autre mesure portant une atteinte moins grave aux droits du recourant n'est envisageable. Du reste le recourant ne formule aucune proposition alternative concrète, hormis l'arrêt du traitement. Enfin, même si cet élément n'apparaît pas au premier plan dans la pesée des intérêts, on peut relever que les spécialistes qui se sont penchés récemment sur la problématique du recourant ont conclu à l'existence d'un risque de passage à l'acte violent, tenu pour moyen même au sein de D.________ (arrêt entrepris consid. E p. 2 [Dr E.________]; consid. G. p. 2 [examen préalable au placement à fin d'assistance]; v. aussi consid. 3.2 p. 5; consid. 3.3 p. 6; consid. 3.4 p. 6). En se bornant à opposer sa propre évaluation de ce risque, le recourant ne démontre pas du tout en quoi la cour cantonale aurait apprécié de manière insoutenable les rapports médicaux figurant au dossier.</w:t>
      </w:r>
    </w:p>
    <w:p>
      <w:r>
        <w:rPr>
          <w:b/>
        </w:rPr>
        <w:t>E. 4.5</w:t>
      </w:r>
    </w:p>
    <w:p>
      <w:r>
        <w:t>Pour le surplus, si le recourant ressent, subjectivement, la réintroduction de la médication comme une " punition " en lien avec les sanctions disciplinaires prononcées à son encontre, cette perception ne trouve pas appui dans le dossier, dont il ressort, au contraire, que le traitement est justifié tant au plan médical que dans la perspective pénale (de prévention spéciale) d'une issue favorable de la mesure thérapeutique institutionnelle en cours. Par ailleurs, comme l'a déjà constaté le Tribunal fédéral, un tel traitement appliqué à des malades chroniques n'agit souvent que très lentement (v. arrêt 6B_378/2013 du 17 juin 2013 consid. 1.2.2). Le recourant ne peut dès lors rien déduire en sa faveur de ce dernier arrêt, auquel il se réfère, en relation avec le temps écoulé depuis le début de la médication forcée (six mois environ). Enfin, si le recourant fait état de divers effets secondaires qu'il impute aux neuroleptiques (tachycardie, spasmes cardiaques, " points " thoraciques et crispations musculaires), il s'écarte de manière inadmissible de la décision cantonale qui ne constate ni l'existence de ces manifestations ni qu'elles seraient la conséquence du traitement ( art. 105 al. 1 LTF ). Au demeurant, il ressort aussi de ses propres explications que ces symptômes, singulièrement les troubles cardiaques, font l'objet d'un suivi médical à la demande du recourant. Ces développements ne remettent, dès lors, pas sérieusement en cause la pesée des intérêts opérée par la cour cantonale.</w:t>
      </w:r>
    </w:p>
    <w:p>
      <w:r>
        <w:rPr>
          <w:b/>
        </w:rPr>
        <w:t>E. 5</w:t>
      </w:r>
    </w:p>
    <w:p>
      <w:r>
        <w:t>Au vu de ce qui précède, le recours doit être rejeté. Il était dépourvu de chances de succès. L'assistance judiciaire doit être refusée ( art. 64 al. 1 LTF ). Le recourant succombe. Il supporte les frais de la cause,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